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40"/>
          <w:tab w:val="left" w:pos="4500"/>
        </w:tabs>
        <w:spacing w:before="120" w:beforeLines="50" w:after="120" w:afterLines="50" w:line="360" w:lineRule="auto"/>
        <w:jc w:val="center"/>
        <w:rPr>
          <w:rFonts w:hint="eastAsia" w:eastAsia="黑体"/>
          <w:sz w:val="36"/>
          <w:szCs w:val="36"/>
        </w:rPr>
      </w:pPr>
      <w:bookmarkStart w:id="0" w:name="_Toc168739611"/>
      <w:bookmarkStart w:id="1" w:name="_Toc78944654"/>
      <w:bookmarkStart w:id="2" w:name="_Toc114019366"/>
      <w:bookmarkStart w:id="3" w:name="_Toc114019557"/>
      <w:bookmarkStart w:id="4" w:name="_Toc122080340"/>
      <w:r>
        <w:rPr>
          <w:rFonts w:eastAsia="黑体"/>
          <w:sz w:val="36"/>
          <w:szCs w:val="36"/>
        </w:rPr>
        <w:t>专用条款</w:t>
      </w:r>
    </w:p>
    <w:p>
      <w:pPr>
        <w:tabs>
          <w:tab w:val="left" w:pos="540"/>
          <w:tab w:val="left" w:pos="4500"/>
        </w:tabs>
        <w:spacing w:before="120" w:beforeLines="50" w:after="120" w:afterLines="50"/>
        <w:jc w:val="center"/>
        <w:rPr>
          <w:b/>
          <w:sz w:val="32"/>
          <w:szCs w:val="32"/>
        </w:rPr>
      </w:pPr>
      <w:r>
        <w:rPr>
          <w:b/>
          <w:sz w:val="30"/>
          <w:szCs w:val="30"/>
        </w:rPr>
        <w:t>目录</w:t>
      </w:r>
    </w:p>
    <w:p>
      <w:pPr>
        <w:pStyle w:val="4"/>
        <w:rPr>
          <w:rFonts w:ascii="Calibri" w:hAnsi="Calibri"/>
          <w:szCs w:val="22"/>
        </w:rPr>
      </w:pPr>
      <w:r>
        <w:fldChar w:fldCharType="begin"/>
      </w:r>
      <w:r>
        <w:instrText xml:space="preserve"> TOC \o "1-3" \h \z \u </w:instrText>
      </w:r>
      <w:r>
        <w:fldChar w:fldCharType="separate"/>
      </w:r>
      <w:r>
        <w:fldChar w:fldCharType="begin"/>
      </w:r>
      <w:r>
        <w:rPr>
          <w:rStyle w:val="9"/>
        </w:rPr>
        <w:instrText xml:space="preserve"> </w:instrText>
      </w:r>
      <w:r>
        <w:instrText xml:space="preserve">HYPERLINK \l "_Toc465441628"</w:instrText>
      </w:r>
      <w:r>
        <w:rPr>
          <w:rStyle w:val="9"/>
        </w:rPr>
        <w:instrText xml:space="preserve"> </w:instrText>
      </w:r>
      <w:r>
        <w:fldChar w:fldCharType="separate"/>
      </w:r>
      <w:r>
        <w:rPr>
          <w:rStyle w:val="9"/>
          <w:b/>
        </w:rPr>
        <w:t>1</w:t>
      </w:r>
      <w:r>
        <w:rPr>
          <w:rStyle w:val="9"/>
          <w:rFonts w:hint="eastAsia"/>
          <w:b/>
        </w:rPr>
        <w:t>、词语定义及解释</w:t>
      </w:r>
      <w:r>
        <w:tab/>
      </w:r>
      <w:r>
        <w:fldChar w:fldCharType="begin"/>
      </w:r>
      <w:r>
        <w:instrText xml:space="preserve"> PAGEREF _Toc465441628 \h </w:instrText>
      </w:r>
      <w:r>
        <w:fldChar w:fldCharType="separate"/>
      </w:r>
      <w:r>
        <w:t>1</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"_Toc465441629"</w:instrText>
      </w:r>
      <w:r>
        <w:rPr>
          <w:rStyle w:val="9"/>
        </w:rPr>
        <w:instrText xml:space="preserve"> </w:instrText>
      </w:r>
      <w:r>
        <w:fldChar w:fldCharType="separate"/>
      </w:r>
      <w:r>
        <w:rPr>
          <w:rStyle w:val="9"/>
        </w:rPr>
        <w:t xml:space="preserve">1.1 </w:t>
      </w:r>
      <w:r>
        <w:rPr>
          <w:rStyle w:val="9"/>
          <w:rFonts w:hint="eastAsia"/>
        </w:rPr>
        <w:t>词语定义</w:t>
      </w:r>
      <w:r>
        <w:tab/>
      </w:r>
      <w:r>
        <w:fldChar w:fldCharType="begin"/>
      </w:r>
      <w:r>
        <w:instrText xml:space="preserve"> PAGEREF _Toc465441629 \h </w:instrText>
      </w:r>
      <w:r>
        <w:fldChar w:fldCharType="separate"/>
      </w:r>
      <w:r>
        <w:t>1</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"_Toc465441630"</w:instrText>
      </w:r>
      <w:r>
        <w:rPr>
          <w:rStyle w:val="9"/>
        </w:rPr>
        <w:instrText xml:space="preserve"> </w:instrText>
      </w:r>
      <w:r>
        <w:fldChar w:fldCharType="separate"/>
      </w:r>
      <w:r>
        <w:rPr>
          <w:rStyle w:val="9"/>
        </w:rPr>
        <w:t xml:space="preserve">1.2 </w:t>
      </w:r>
      <w:r>
        <w:rPr>
          <w:rStyle w:val="9"/>
          <w:rFonts w:hint="eastAsia"/>
        </w:rPr>
        <w:t>标题和旁注</w:t>
      </w:r>
      <w:r>
        <w:tab/>
      </w:r>
      <w:r>
        <w:fldChar w:fldCharType="begin"/>
      </w:r>
      <w:r>
        <w:instrText xml:space="preserve"> PAGEREF _Toc465441630 \h </w:instrText>
      </w:r>
      <w:r>
        <w:fldChar w:fldCharType="separate"/>
      </w:r>
      <w:r>
        <w:t>1</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"_Toc465441631"</w:instrText>
      </w:r>
      <w:r>
        <w:rPr>
          <w:rStyle w:val="9"/>
        </w:rPr>
        <w:instrText xml:space="preserve"> </w:instrText>
      </w:r>
      <w:r>
        <w:fldChar w:fldCharType="separate"/>
      </w:r>
      <w:r>
        <w:rPr>
          <w:rStyle w:val="9"/>
          <w:b/>
        </w:rPr>
        <w:t>2</w:t>
      </w:r>
      <w:r>
        <w:rPr>
          <w:rStyle w:val="9"/>
          <w:rFonts w:hint="eastAsia"/>
          <w:b/>
        </w:rPr>
        <w:t>、合同文件</w:t>
      </w:r>
      <w:r>
        <w:tab/>
      </w:r>
      <w:r>
        <w:fldChar w:fldCharType="begin"/>
      </w:r>
      <w:r>
        <w:instrText xml:space="preserve"> PAGEREF _Toc465441631 \h </w:instrText>
      </w:r>
      <w:r>
        <w:fldChar w:fldCharType="separate"/>
      </w:r>
      <w:r>
        <w:t>1</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"_Toc465441632"</w:instrText>
      </w:r>
      <w:r>
        <w:rPr>
          <w:rStyle w:val="9"/>
        </w:rPr>
        <w:instrText xml:space="preserve"> </w:instrText>
      </w:r>
      <w:r>
        <w:fldChar w:fldCharType="separate"/>
      </w:r>
      <w:r>
        <w:rPr>
          <w:rStyle w:val="9"/>
        </w:rPr>
        <w:t xml:space="preserve">2.1 </w:t>
      </w:r>
      <w:r>
        <w:rPr>
          <w:rStyle w:val="9"/>
          <w:rFonts w:hint="eastAsia"/>
        </w:rPr>
        <w:t>书面形式</w:t>
      </w:r>
      <w:r>
        <w:tab/>
      </w:r>
      <w:r>
        <w:fldChar w:fldCharType="begin"/>
      </w:r>
      <w:r>
        <w:instrText xml:space="preserve"> PAGEREF _Toc465441632 \h </w:instrText>
      </w:r>
      <w:r>
        <w:fldChar w:fldCharType="separate"/>
      </w:r>
      <w:r>
        <w:t>1</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"_Toc465441633"</w:instrText>
      </w:r>
      <w:r>
        <w:rPr>
          <w:rStyle w:val="9"/>
        </w:rPr>
        <w:instrText xml:space="preserve"> </w:instrText>
      </w:r>
      <w:r>
        <w:fldChar w:fldCharType="separate"/>
      </w:r>
      <w:r>
        <w:rPr>
          <w:rStyle w:val="9"/>
        </w:rPr>
        <w:t xml:space="preserve">2.2 </w:t>
      </w:r>
      <w:r>
        <w:rPr>
          <w:rStyle w:val="9"/>
          <w:rFonts w:hint="eastAsia"/>
        </w:rPr>
        <w:t>合同文件组成及解释顺序</w:t>
      </w:r>
      <w:r>
        <w:tab/>
      </w:r>
      <w:r>
        <w:fldChar w:fldCharType="begin"/>
      </w:r>
      <w:r>
        <w:instrText xml:space="preserve"> PAGEREF _Toc465441633 \h </w:instrText>
      </w:r>
      <w:r>
        <w:fldChar w:fldCharType="separate"/>
      </w:r>
      <w:r>
        <w:t>1</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"_Toc465441634"</w:instrText>
      </w:r>
      <w:r>
        <w:rPr>
          <w:rStyle w:val="9"/>
        </w:rPr>
        <w:instrText xml:space="preserve"> </w:instrText>
      </w:r>
      <w:r>
        <w:fldChar w:fldCharType="separate"/>
      </w:r>
      <w:r>
        <w:rPr>
          <w:rStyle w:val="9"/>
        </w:rPr>
        <w:t xml:space="preserve">2.3 </w:t>
      </w:r>
      <w:r>
        <w:rPr>
          <w:rStyle w:val="9"/>
          <w:rFonts w:hint="eastAsia"/>
        </w:rPr>
        <w:t>语言文字和适用法律、法规</w:t>
      </w:r>
      <w:r>
        <w:tab/>
      </w:r>
      <w:r>
        <w:fldChar w:fldCharType="begin"/>
      </w:r>
      <w:r>
        <w:instrText xml:space="preserve"> PAGEREF _Toc465441634 \h </w:instrText>
      </w:r>
      <w:r>
        <w:fldChar w:fldCharType="separate"/>
      </w:r>
      <w:r>
        <w:t>1</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"_Toc465441635"</w:instrText>
      </w:r>
      <w:r>
        <w:rPr>
          <w:rStyle w:val="9"/>
        </w:rPr>
        <w:instrText xml:space="preserve"> </w:instrText>
      </w:r>
      <w:r>
        <w:fldChar w:fldCharType="separate"/>
      </w:r>
      <w:r>
        <w:rPr>
          <w:rStyle w:val="9"/>
        </w:rPr>
        <w:t xml:space="preserve">2.4 </w:t>
      </w:r>
      <w:r>
        <w:rPr>
          <w:rStyle w:val="9"/>
          <w:rFonts w:hint="eastAsia"/>
        </w:rPr>
        <w:t>图纸</w:t>
      </w:r>
      <w:r>
        <w:tab/>
      </w:r>
      <w:r>
        <w:fldChar w:fldCharType="begin"/>
      </w:r>
      <w:r>
        <w:instrText xml:space="preserve"> PAGEREF _Toc465441635 \h </w:instrText>
      </w:r>
      <w:r>
        <w:fldChar w:fldCharType="separate"/>
      </w:r>
      <w:r>
        <w:t>2</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"_Toc465441636"</w:instrText>
      </w:r>
      <w:r>
        <w:rPr>
          <w:rStyle w:val="9"/>
        </w:rPr>
        <w:instrText xml:space="preserve"> </w:instrText>
      </w:r>
      <w:r>
        <w:fldChar w:fldCharType="separate"/>
      </w:r>
      <w:r>
        <w:rPr>
          <w:rStyle w:val="9"/>
        </w:rPr>
        <w:t xml:space="preserve">2.6 </w:t>
      </w:r>
      <w:r>
        <w:rPr>
          <w:rStyle w:val="9"/>
          <w:rFonts w:hint="eastAsia"/>
        </w:rPr>
        <w:t>工程指令</w:t>
      </w:r>
      <w:r>
        <w:tab/>
      </w:r>
      <w:r>
        <w:fldChar w:fldCharType="begin"/>
      </w:r>
      <w:r>
        <w:instrText xml:space="preserve"> PAGEREF _Toc465441636 \h </w:instrText>
      </w:r>
      <w:r>
        <w:fldChar w:fldCharType="separate"/>
      </w:r>
      <w:r>
        <w:t>2</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"_Toc465441637"</w:instrText>
      </w:r>
      <w:r>
        <w:rPr>
          <w:rStyle w:val="9"/>
        </w:rPr>
        <w:instrText xml:space="preserve"> </w:instrText>
      </w:r>
      <w:r>
        <w:fldChar w:fldCharType="separate"/>
      </w:r>
      <w:r>
        <w:rPr>
          <w:rStyle w:val="9"/>
          <w:b/>
        </w:rPr>
        <w:t>3</w:t>
      </w:r>
      <w:r>
        <w:rPr>
          <w:rStyle w:val="9"/>
          <w:rFonts w:hint="eastAsia"/>
          <w:b/>
        </w:rPr>
        <w:t>、发包人（甲方</w:t>
      </w:r>
      <w:r>
        <w:rPr>
          <w:rStyle w:val="9"/>
          <w:rFonts w:hint="eastAsia"/>
        </w:rPr>
        <w:t>）</w:t>
      </w:r>
      <w:r>
        <w:tab/>
      </w:r>
      <w:r>
        <w:fldChar w:fldCharType="begin"/>
      </w:r>
      <w:r>
        <w:instrText xml:space="preserve"> PAGEREF _Toc465441637 \h </w:instrText>
      </w:r>
      <w:r>
        <w:fldChar w:fldCharType="separate"/>
      </w:r>
      <w:r>
        <w:rPr>
          <w:b/>
        </w:rPr>
        <w:t>错误！未定义书签。</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"_Toc465441638"</w:instrText>
      </w:r>
      <w:r>
        <w:rPr>
          <w:rStyle w:val="9"/>
        </w:rPr>
        <w:instrText xml:space="preserve"> </w:instrText>
      </w:r>
      <w:r>
        <w:fldChar w:fldCharType="separate"/>
      </w:r>
      <w:r>
        <w:rPr>
          <w:rStyle w:val="9"/>
        </w:rPr>
        <w:t xml:space="preserve">3.1 </w:t>
      </w:r>
      <w:r>
        <w:rPr>
          <w:rStyle w:val="9"/>
          <w:rFonts w:hint="eastAsia"/>
        </w:rPr>
        <w:t>发包人代表及现场人员</w:t>
      </w:r>
      <w:r>
        <w:tab/>
      </w:r>
      <w:r>
        <w:fldChar w:fldCharType="begin"/>
      </w:r>
      <w:r>
        <w:instrText xml:space="preserve"> PAGEREF _Toc465441638 \h </w:instrText>
      </w:r>
      <w:r>
        <w:fldChar w:fldCharType="separate"/>
      </w:r>
      <w:r>
        <w:rPr>
          <w:b/>
        </w:rPr>
        <w:t>错误！未定义书签。</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"_Toc465441639"</w:instrText>
      </w:r>
      <w:r>
        <w:rPr>
          <w:rStyle w:val="9"/>
        </w:rPr>
        <w:instrText xml:space="preserve"> </w:instrText>
      </w:r>
      <w:r>
        <w:fldChar w:fldCharType="separate"/>
      </w:r>
      <w:r>
        <w:rPr>
          <w:rStyle w:val="9"/>
        </w:rPr>
        <w:t xml:space="preserve">3.2 </w:t>
      </w:r>
      <w:r>
        <w:rPr>
          <w:rStyle w:val="9"/>
          <w:rFonts w:hint="eastAsia"/>
        </w:rPr>
        <w:t>发包人工作</w:t>
      </w:r>
      <w:r>
        <w:tab/>
      </w:r>
      <w:r>
        <w:fldChar w:fldCharType="begin"/>
      </w:r>
      <w:r>
        <w:instrText xml:space="preserve"> PAGEREF _Toc465441639 \h </w:instrText>
      </w:r>
      <w:r>
        <w:fldChar w:fldCharType="separate"/>
      </w:r>
      <w:r>
        <w:rPr>
          <w:b/>
        </w:rPr>
        <w:t>错误！未定义书签。</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"_Toc465441640"</w:instrText>
      </w:r>
      <w:r>
        <w:rPr>
          <w:rStyle w:val="9"/>
        </w:rPr>
        <w:instrText xml:space="preserve"> </w:instrText>
      </w:r>
      <w:r>
        <w:fldChar w:fldCharType="separate"/>
      </w:r>
      <w:r>
        <w:rPr>
          <w:rStyle w:val="9"/>
          <w:b/>
        </w:rPr>
        <w:t>4</w:t>
      </w:r>
      <w:r>
        <w:rPr>
          <w:rStyle w:val="9"/>
          <w:rFonts w:hint="eastAsia"/>
          <w:b/>
        </w:rPr>
        <w:t>、监理方</w:t>
      </w:r>
      <w:r>
        <w:tab/>
      </w:r>
      <w:r>
        <w:fldChar w:fldCharType="begin"/>
      </w:r>
      <w:r>
        <w:instrText xml:space="preserve"> PAGEREF _Toc465441640 \h </w:instrText>
      </w:r>
      <w:r>
        <w:fldChar w:fldCharType="separate"/>
      </w:r>
      <w:r>
        <w:t>2</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"_Toc465441641"</w:instrText>
      </w:r>
      <w:r>
        <w:rPr>
          <w:rStyle w:val="9"/>
        </w:rPr>
        <w:instrText xml:space="preserve"> </w:instrText>
      </w:r>
      <w:r>
        <w:fldChar w:fldCharType="separate"/>
      </w:r>
      <w:r>
        <w:rPr>
          <w:rStyle w:val="9"/>
        </w:rPr>
        <w:t xml:space="preserve">4.1 </w:t>
      </w:r>
      <w:r>
        <w:rPr>
          <w:rStyle w:val="9"/>
          <w:rFonts w:hint="eastAsia"/>
        </w:rPr>
        <w:t>监理工程师</w:t>
      </w:r>
      <w:r>
        <w:tab/>
      </w:r>
      <w:r>
        <w:fldChar w:fldCharType="begin"/>
      </w:r>
      <w:r>
        <w:instrText xml:space="preserve"> PAGEREF _Toc465441641 \h </w:instrText>
      </w:r>
      <w:r>
        <w:fldChar w:fldCharType="separate"/>
      </w:r>
      <w:r>
        <w:t>3</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"_Toc465441642"</w:instrText>
      </w:r>
      <w:r>
        <w:rPr>
          <w:rStyle w:val="9"/>
        </w:rPr>
        <w:instrText xml:space="preserve"> </w:instrText>
      </w:r>
      <w:r>
        <w:fldChar w:fldCharType="separate"/>
      </w:r>
      <w:r>
        <w:rPr>
          <w:rStyle w:val="9"/>
        </w:rPr>
        <w:t xml:space="preserve">4.2 </w:t>
      </w:r>
      <w:r>
        <w:rPr>
          <w:rStyle w:val="9"/>
          <w:rFonts w:hint="eastAsia"/>
        </w:rPr>
        <w:t>监理工程师工作</w:t>
      </w:r>
      <w:r>
        <w:tab/>
      </w:r>
      <w:r>
        <w:fldChar w:fldCharType="begin"/>
      </w:r>
      <w:r>
        <w:instrText xml:space="preserve"> PAGEREF _Toc465441642 \h </w:instrText>
      </w:r>
      <w:r>
        <w:fldChar w:fldCharType="separate"/>
      </w:r>
      <w:r>
        <w:t>3</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"_Toc465441643"</w:instrText>
      </w:r>
      <w:r>
        <w:rPr>
          <w:rStyle w:val="9"/>
        </w:rPr>
        <w:instrText xml:space="preserve"> </w:instrText>
      </w:r>
      <w:r>
        <w:fldChar w:fldCharType="separate"/>
      </w:r>
      <w:r>
        <w:rPr>
          <w:rStyle w:val="9"/>
          <w:b/>
        </w:rPr>
        <w:t>5</w:t>
      </w:r>
      <w:r>
        <w:rPr>
          <w:rStyle w:val="9"/>
          <w:rFonts w:hint="eastAsia"/>
          <w:b/>
        </w:rPr>
        <w:t>、承包人（乙方）</w:t>
      </w:r>
      <w:r>
        <w:tab/>
      </w:r>
      <w:r>
        <w:fldChar w:fldCharType="begin"/>
      </w:r>
      <w:r>
        <w:instrText xml:space="preserve"> PAGEREF _Toc465441643 \h </w:instrText>
      </w:r>
      <w:r>
        <w:fldChar w:fldCharType="separate"/>
      </w:r>
      <w:r>
        <w:t>3</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"_Toc465441644"</w:instrText>
      </w:r>
      <w:r>
        <w:rPr>
          <w:rStyle w:val="9"/>
        </w:rPr>
        <w:instrText xml:space="preserve"> </w:instrText>
      </w:r>
      <w:r>
        <w:fldChar w:fldCharType="separate"/>
      </w:r>
      <w:r>
        <w:rPr>
          <w:rStyle w:val="9"/>
        </w:rPr>
        <w:t xml:space="preserve">5.1 </w:t>
      </w:r>
      <w:r>
        <w:rPr>
          <w:rStyle w:val="9"/>
          <w:rFonts w:hint="eastAsia"/>
        </w:rPr>
        <w:t>承包人代表及现场人员</w:t>
      </w:r>
      <w:r>
        <w:tab/>
      </w:r>
      <w:r>
        <w:fldChar w:fldCharType="begin"/>
      </w:r>
      <w:r>
        <w:instrText xml:space="preserve"> PAGEREF _Toc465441644 \h </w:instrText>
      </w:r>
      <w:r>
        <w:fldChar w:fldCharType="separate"/>
      </w:r>
      <w:r>
        <w:t>3</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"_Toc465441645"</w:instrText>
      </w:r>
      <w:r>
        <w:rPr>
          <w:rStyle w:val="9"/>
        </w:rPr>
        <w:instrText xml:space="preserve"> </w:instrText>
      </w:r>
      <w:r>
        <w:fldChar w:fldCharType="separate"/>
      </w:r>
      <w:r>
        <w:rPr>
          <w:rStyle w:val="9"/>
        </w:rPr>
        <w:t xml:space="preserve">5.2 </w:t>
      </w:r>
      <w:r>
        <w:rPr>
          <w:rStyle w:val="9"/>
          <w:rFonts w:hint="eastAsia"/>
        </w:rPr>
        <w:t>承包人的责任和义务</w:t>
      </w:r>
      <w:r>
        <w:tab/>
      </w:r>
      <w:r>
        <w:fldChar w:fldCharType="begin"/>
      </w:r>
      <w:r>
        <w:instrText xml:space="preserve"> PAGEREF _Toc465441645 \h </w:instrText>
      </w:r>
      <w:r>
        <w:fldChar w:fldCharType="separate"/>
      </w:r>
      <w:r>
        <w:t>3</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"_Toc465441646"</w:instrText>
      </w:r>
      <w:r>
        <w:rPr>
          <w:rStyle w:val="9"/>
        </w:rPr>
        <w:instrText xml:space="preserve"> </w:instrText>
      </w:r>
      <w:r>
        <w:fldChar w:fldCharType="separate"/>
      </w:r>
      <w:r>
        <w:rPr>
          <w:rStyle w:val="9"/>
          <w:b/>
        </w:rPr>
        <w:t>6</w:t>
      </w:r>
      <w:r>
        <w:rPr>
          <w:rStyle w:val="9"/>
          <w:rFonts w:hint="eastAsia"/>
          <w:b/>
        </w:rPr>
        <w:t>、转让、分包和独立工程</w:t>
      </w:r>
      <w:r>
        <w:tab/>
      </w:r>
      <w:r>
        <w:fldChar w:fldCharType="begin"/>
      </w:r>
      <w:r>
        <w:instrText xml:space="preserve"> PAGEREF _Toc465441646 \h </w:instrText>
      </w:r>
      <w:r>
        <w:fldChar w:fldCharType="separate"/>
      </w:r>
      <w:r>
        <w:t>5</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"_Toc465441647"</w:instrText>
      </w:r>
      <w:r>
        <w:rPr>
          <w:rStyle w:val="9"/>
        </w:rPr>
        <w:instrText xml:space="preserve"> </w:instrText>
      </w:r>
      <w:r>
        <w:fldChar w:fldCharType="separate"/>
      </w:r>
      <w:r>
        <w:rPr>
          <w:rStyle w:val="9"/>
        </w:rPr>
        <w:t xml:space="preserve">6.2 </w:t>
      </w:r>
      <w:r>
        <w:rPr>
          <w:rStyle w:val="9"/>
          <w:rFonts w:hint="eastAsia"/>
        </w:rPr>
        <w:t>分包（包括自行分包和指定分包）</w:t>
      </w:r>
      <w:r>
        <w:tab/>
      </w:r>
      <w:r>
        <w:fldChar w:fldCharType="begin"/>
      </w:r>
      <w:r>
        <w:instrText xml:space="preserve"> PAGEREF _Toc465441647 \h </w:instrText>
      </w:r>
      <w:r>
        <w:fldChar w:fldCharType="separate"/>
      </w:r>
      <w:r>
        <w:t>5</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"_Toc465441648"</w:instrText>
      </w:r>
      <w:r>
        <w:rPr>
          <w:rStyle w:val="9"/>
        </w:rPr>
        <w:instrText xml:space="preserve"> </w:instrText>
      </w:r>
      <w:r>
        <w:fldChar w:fldCharType="separate"/>
      </w:r>
      <w:r>
        <w:rPr>
          <w:rStyle w:val="9"/>
        </w:rPr>
        <w:t xml:space="preserve">6.3 </w:t>
      </w:r>
      <w:r>
        <w:rPr>
          <w:rStyle w:val="9"/>
          <w:rFonts w:hint="eastAsia"/>
        </w:rPr>
        <w:t>独立工程</w:t>
      </w:r>
      <w:r>
        <w:tab/>
      </w:r>
      <w:r>
        <w:fldChar w:fldCharType="begin"/>
      </w:r>
      <w:r>
        <w:instrText xml:space="preserve"> PAGEREF _Toc465441648 \h </w:instrText>
      </w:r>
      <w:r>
        <w:fldChar w:fldCharType="separate"/>
      </w:r>
      <w:r>
        <w:t>5</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"_Toc465441649"</w:instrText>
      </w:r>
      <w:r>
        <w:rPr>
          <w:rStyle w:val="9"/>
        </w:rPr>
        <w:instrText xml:space="preserve"> </w:instrText>
      </w:r>
      <w:r>
        <w:fldChar w:fldCharType="separate"/>
      </w:r>
      <w:r>
        <w:rPr>
          <w:rStyle w:val="9"/>
          <w:b/>
        </w:rPr>
        <w:t>7</w:t>
      </w:r>
      <w:r>
        <w:rPr>
          <w:rStyle w:val="9"/>
          <w:rFonts w:hint="eastAsia"/>
          <w:b/>
        </w:rPr>
        <w:t>、材料、设备供应（如有）</w:t>
      </w:r>
      <w:r>
        <w:tab/>
      </w:r>
      <w:r>
        <w:fldChar w:fldCharType="begin"/>
      </w:r>
      <w:r>
        <w:instrText xml:space="preserve"> PAGEREF _Toc465441649 \h </w:instrText>
      </w:r>
      <w:r>
        <w:fldChar w:fldCharType="separate"/>
      </w:r>
      <w:r>
        <w:t>5</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"_Toc465441650"</w:instrText>
      </w:r>
      <w:r>
        <w:rPr>
          <w:rStyle w:val="9"/>
        </w:rPr>
        <w:instrText xml:space="preserve"> </w:instrText>
      </w:r>
      <w:r>
        <w:fldChar w:fldCharType="separate"/>
      </w:r>
      <w:r>
        <w:rPr>
          <w:rStyle w:val="9"/>
        </w:rPr>
        <w:t xml:space="preserve">7.1 </w:t>
      </w:r>
      <w:r>
        <w:rPr>
          <w:rStyle w:val="9"/>
          <w:rFonts w:hint="eastAsia"/>
        </w:rPr>
        <w:t>发包人供应材料设备（甲供材）</w:t>
      </w:r>
      <w:r>
        <w:tab/>
      </w:r>
      <w:r>
        <w:fldChar w:fldCharType="begin"/>
      </w:r>
      <w:r>
        <w:instrText xml:space="preserve"> PAGEREF _Toc465441650 \h </w:instrText>
      </w:r>
      <w:r>
        <w:fldChar w:fldCharType="separate"/>
      </w:r>
      <w:r>
        <w:t>5</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"_Toc465441651"</w:instrText>
      </w:r>
      <w:r>
        <w:rPr>
          <w:rStyle w:val="9"/>
        </w:rPr>
        <w:instrText xml:space="preserve"> </w:instrText>
      </w:r>
      <w:r>
        <w:fldChar w:fldCharType="separate"/>
      </w:r>
      <w:r>
        <w:rPr>
          <w:rStyle w:val="9"/>
        </w:rPr>
        <w:t xml:space="preserve">7.2 </w:t>
      </w:r>
      <w:r>
        <w:rPr>
          <w:rStyle w:val="9"/>
          <w:rFonts w:hint="eastAsia"/>
        </w:rPr>
        <w:t>指定供应材料设备（甲指乙供）</w:t>
      </w:r>
      <w:r>
        <w:tab/>
      </w:r>
      <w:r>
        <w:fldChar w:fldCharType="begin"/>
      </w:r>
      <w:r>
        <w:instrText xml:space="preserve"> PAGEREF _Toc465441651 \h </w:instrText>
      </w:r>
      <w:r>
        <w:fldChar w:fldCharType="separate"/>
      </w:r>
      <w:r>
        <w:t>5</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"_Toc465441652"</w:instrText>
      </w:r>
      <w:r>
        <w:rPr>
          <w:rStyle w:val="9"/>
        </w:rPr>
        <w:instrText xml:space="preserve"> </w:instrText>
      </w:r>
      <w:r>
        <w:fldChar w:fldCharType="separate"/>
      </w:r>
      <w:r>
        <w:rPr>
          <w:rStyle w:val="9"/>
        </w:rPr>
        <w:t xml:space="preserve">7.3 </w:t>
      </w:r>
      <w:r>
        <w:rPr>
          <w:rStyle w:val="9"/>
          <w:rFonts w:hint="eastAsia"/>
        </w:rPr>
        <w:t>承包人采购材料设备（乙供材）</w:t>
      </w:r>
      <w:r>
        <w:tab/>
      </w:r>
      <w:r>
        <w:fldChar w:fldCharType="begin"/>
      </w:r>
      <w:r>
        <w:instrText xml:space="preserve"> PAGEREF _Toc465441652 \h </w:instrText>
      </w:r>
      <w:r>
        <w:fldChar w:fldCharType="separate"/>
      </w:r>
      <w:r>
        <w:t>5</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"_Toc465441653"</w:instrText>
      </w:r>
      <w:r>
        <w:rPr>
          <w:rStyle w:val="9"/>
        </w:rPr>
        <w:instrText xml:space="preserve"> </w:instrText>
      </w:r>
      <w:r>
        <w:fldChar w:fldCharType="separate"/>
      </w:r>
      <w:r>
        <w:rPr>
          <w:rStyle w:val="9"/>
          <w:b/>
        </w:rPr>
        <w:t>9</w:t>
      </w:r>
      <w:r>
        <w:rPr>
          <w:rStyle w:val="9"/>
          <w:rFonts w:hint="eastAsia"/>
          <w:b/>
        </w:rPr>
        <w:t>、工期管理</w:t>
      </w:r>
      <w:r>
        <w:tab/>
      </w:r>
      <w:r>
        <w:fldChar w:fldCharType="begin"/>
      </w:r>
      <w:r>
        <w:instrText xml:space="preserve"> PAGEREF _Toc465441653 \h </w:instrText>
      </w:r>
      <w:r>
        <w:fldChar w:fldCharType="separate"/>
      </w:r>
      <w:r>
        <w:t>5</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"_Toc465441654"</w:instrText>
      </w:r>
      <w:r>
        <w:rPr>
          <w:rStyle w:val="9"/>
        </w:rPr>
        <w:instrText xml:space="preserve"> </w:instrText>
      </w:r>
      <w:r>
        <w:fldChar w:fldCharType="separate"/>
      </w:r>
      <w:r>
        <w:rPr>
          <w:rStyle w:val="9"/>
        </w:rPr>
        <w:t>9.1.1</w:t>
      </w:r>
      <w:r>
        <w:rPr>
          <w:rStyle w:val="9"/>
          <w:rFonts w:hint="eastAsia"/>
        </w:rPr>
        <w:t>工期</w:t>
      </w:r>
      <w:r>
        <w:tab/>
      </w:r>
      <w:r>
        <w:fldChar w:fldCharType="begin"/>
      </w:r>
      <w:r>
        <w:instrText xml:space="preserve"> PAGEREF _Toc465441654 \h </w:instrText>
      </w:r>
      <w:r>
        <w:fldChar w:fldCharType="separate"/>
      </w:r>
      <w:r>
        <w:t>5</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"_Toc465441655"</w:instrText>
      </w:r>
      <w:r>
        <w:rPr>
          <w:rStyle w:val="9"/>
        </w:rPr>
        <w:instrText xml:space="preserve"> </w:instrText>
      </w:r>
      <w:r>
        <w:fldChar w:fldCharType="separate"/>
      </w:r>
      <w:r>
        <w:rPr>
          <w:rStyle w:val="9"/>
        </w:rPr>
        <w:t xml:space="preserve">9.5 </w:t>
      </w:r>
      <w:r>
        <w:rPr>
          <w:rStyle w:val="9"/>
          <w:rFonts w:hint="eastAsia"/>
        </w:rPr>
        <w:t>拖期违约赔偿</w:t>
      </w:r>
      <w:r>
        <w:tab/>
      </w:r>
      <w:r>
        <w:fldChar w:fldCharType="begin"/>
      </w:r>
      <w:r>
        <w:instrText xml:space="preserve"> PAGEREF _Toc465441655 \h </w:instrText>
      </w:r>
      <w:r>
        <w:fldChar w:fldCharType="separate"/>
      </w:r>
      <w:r>
        <w:t>6</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"_Toc465441656"</w:instrText>
      </w:r>
      <w:r>
        <w:rPr>
          <w:rStyle w:val="9"/>
        </w:rPr>
        <w:instrText xml:space="preserve"> </w:instrText>
      </w:r>
      <w:r>
        <w:fldChar w:fldCharType="separate"/>
      </w:r>
      <w:r>
        <w:rPr>
          <w:rStyle w:val="9"/>
          <w:b/>
        </w:rPr>
        <w:t>10</w:t>
      </w:r>
      <w:r>
        <w:rPr>
          <w:rStyle w:val="9"/>
          <w:rFonts w:hint="eastAsia"/>
          <w:b/>
        </w:rPr>
        <w:t>、工程质量</w:t>
      </w:r>
      <w:r>
        <w:tab/>
      </w:r>
      <w:r>
        <w:fldChar w:fldCharType="begin"/>
      </w:r>
      <w:r>
        <w:instrText xml:space="preserve"> PAGEREF _Toc465441656 \h </w:instrText>
      </w:r>
      <w:r>
        <w:fldChar w:fldCharType="separate"/>
      </w:r>
      <w:r>
        <w:t>6</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"_Toc465441657"</w:instrText>
      </w:r>
      <w:r>
        <w:rPr>
          <w:rStyle w:val="9"/>
        </w:rPr>
        <w:instrText xml:space="preserve"> </w:instrText>
      </w:r>
      <w:r>
        <w:fldChar w:fldCharType="separate"/>
      </w:r>
      <w:r>
        <w:rPr>
          <w:rStyle w:val="9"/>
        </w:rPr>
        <w:t xml:space="preserve">10.1 </w:t>
      </w:r>
      <w:r>
        <w:rPr>
          <w:rStyle w:val="9"/>
          <w:rFonts w:hint="eastAsia"/>
        </w:rPr>
        <w:t>工程质量、技术要求</w:t>
      </w:r>
      <w:r>
        <w:tab/>
      </w:r>
      <w:r>
        <w:fldChar w:fldCharType="begin"/>
      </w:r>
      <w:r>
        <w:instrText xml:space="preserve"> PAGEREF _Toc465441657 \h </w:instrText>
      </w:r>
      <w:r>
        <w:fldChar w:fldCharType="separate"/>
      </w:r>
      <w:r>
        <w:t>7</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"_Toc465441658"</w:instrText>
      </w:r>
      <w:r>
        <w:rPr>
          <w:rStyle w:val="9"/>
        </w:rPr>
        <w:instrText xml:space="preserve"> </w:instrText>
      </w:r>
      <w:r>
        <w:fldChar w:fldCharType="separate"/>
      </w:r>
      <w:r>
        <w:rPr>
          <w:rStyle w:val="9"/>
          <w:b/>
        </w:rPr>
        <w:t>11</w:t>
      </w:r>
      <w:r>
        <w:rPr>
          <w:rStyle w:val="9"/>
          <w:rFonts w:hint="eastAsia"/>
          <w:b/>
        </w:rPr>
        <w:t>、现场管理</w:t>
      </w:r>
      <w:r>
        <w:tab/>
      </w:r>
      <w:r>
        <w:fldChar w:fldCharType="begin"/>
      </w:r>
      <w:r>
        <w:instrText xml:space="preserve"> PAGEREF _Toc465441658 \h </w:instrText>
      </w:r>
      <w:r>
        <w:fldChar w:fldCharType="separate"/>
      </w:r>
      <w:r>
        <w:t>7</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"_Toc465441659"</w:instrText>
      </w:r>
      <w:r>
        <w:rPr>
          <w:rStyle w:val="9"/>
        </w:rPr>
        <w:instrText xml:space="preserve"> </w:instrText>
      </w:r>
      <w:r>
        <w:fldChar w:fldCharType="separate"/>
      </w:r>
      <w:r>
        <w:rPr>
          <w:rStyle w:val="9"/>
        </w:rPr>
        <w:t xml:space="preserve">11.1 </w:t>
      </w:r>
      <w:r>
        <w:rPr>
          <w:rStyle w:val="9"/>
          <w:rFonts w:hint="eastAsia"/>
        </w:rPr>
        <w:t>现场安全、文明施工</w:t>
      </w:r>
      <w:r>
        <w:tab/>
      </w:r>
      <w:r>
        <w:fldChar w:fldCharType="begin"/>
      </w:r>
      <w:r>
        <w:instrText xml:space="preserve"> PAGEREF _Toc465441659 \h </w:instrText>
      </w:r>
      <w:r>
        <w:fldChar w:fldCharType="separate"/>
      </w:r>
      <w:r>
        <w:t>7</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"_Toc465441660"</w:instrText>
      </w:r>
      <w:r>
        <w:rPr>
          <w:rStyle w:val="9"/>
        </w:rPr>
        <w:instrText xml:space="preserve"> </w:instrText>
      </w:r>
      <w:r>
        <w:fldChar w:fldCharType="separate"/>
      </w:r>
      <w:r>
        <w:rPr>
          <w:rStyle w:val="9"/>
          <w:b/>
        </w:rPr>
        <w:t>12</w:t>
      </w:r>
      <w:r>
        <w:rPr>
          <w:rStyle w:val="9"/>
          <w:rFonts w:hint="eastAsia"/>
          <w:b/>
        </w:rPr>
        <w:t>、验收和移交</w:t>
      </w:r>
      <w:r>
        <w:tab/>
      </w:r>
      <w:r>
        <w:fldChar w:fldCharType="begin"/>
      </w:r>
      <w:r>
        <w:instrText xml:space="preserve"> PAGEREF _Toc465441660 \h </w:instrText>
      </w:r>
      <w:r>
        <w:fldChar w:fldCharType="separate"/>
      </w:r>
      <w:r>
        <w:t>7</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"_Toc465441661"</w:instrText>
      </w:r>
      <w:r>
        <w:rPr>
          <w:rStyle w:val="9"/>
        </w:rPr>
        <w:instrText xml:space="preserve"> </w:instrText>
      </w:r>
      <w:r>
        <w:fldChar w:fldCharType="separate"/>
      </w:r>
      <w:r>
        <w:rPr>
          <w:rStyle w:val="9"/>
        </w:rPr>
        <w:t xml:space="preserve">12.1 </w:t>
      </w:r>
      <w:r>
        <w:rPr>
          <w:rStyle w:val="9"/>
          <w:rFonts w:hint="eastAsia"/>
        </w:rPr>
        <w:t>工程验收</w:t>
      </w:r>
      <w:r>
        <w:tab/>
      </w:r>
      <w:r>
        <w:fldChar w:fldCharType="begin"/>
      </w:r>
      <w:r>
        <w:instrText xml:space="preserve"> PAGEREF _Toc465441661 \h </w:instrText>
      </w:r>
      <w:r>
        <w:fldChar w:fldCharType="separate"/>
      </w:r>
      <w:r>
        <w:t>7</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"_Toc465441662"</w:instrText>
      </w:r>
      <w:r>
        <w:rPr>
          <w:rStyle w:val="9"/>
        </w:rPr>
        <w:instrText xml:space="preserve"> </w:instrText>
      </w:r>
      <w:r>
        <w:fldChar w:fldCharType="separate"/>
      </w:r>
      <w:r>
        <w:rPr>
          <w:rStyle w:val="9"/>
          <w:b/>
        </w:rPr>
        <w:t>13</w:t>
      </w:r>
      <w:r>
        <w:rPr>
          <w:rStyle w:val="9"/>
          <w:rFonts w:hint="eastAsia"/>
          <w:b/>
        </w:rPr>
        <w:t>、工程质量保修</w:t>
      </w:r>
      <w:r>
        <w:tab/>
      </w:r>
      <w:r>
        <w:fldChar w:fldCharType="begin"/>
      </w:r>
      <w:r>
        <w:instrText xml:space="preserve"> PAGEREF _Toc465441662 \h </w:instrText>
      </w:r>
      <w:r>
        <w:fldChar w:fldCharType="separate"/>
      </w:r>
      <w:r>
        <w:t>7</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"_Toc465441663"</w:instrText>
      </w:r>
      <w:r>
        <w:rPr>
          <w:rStyle w:val="9"/>
        </w:rPr>
        <w:instrText xml:space="preserve"> </w:instrText>
      </w:r>
      <w:r>
        <w:fldChar w:fldCharType="separate"/>
      </w:r>
      <w:r>
        <w:rPr>
          <w:rStyle w:val="9"/>
        </w:rPr>
        <w:t xml:space="preserve">13.1 </w:t>
      </w:r>
      <w:r>
        <w:rPr>
          <w:rStyle w:val="9"/>
          <w:rFonts w:hint="eastAsia"/>
        </w:rPr>
        <w:t>工程质量保修</w:t>
      </w:r>
      <w:r>
        <w:tab/>
      </w:r>
      <w:r>
        <w:fldChar w:fldCharType="begin"/>
      </w:r>
      <w:r>
        <w:instrText xml:space="preserve"> PAGEREF _Toc465441663 \h </w:instrText>
      </w:r>
      <w:r>
        <w:fldChar w:fldCharType="separate"/>
      </w:r>
      <w:r>
        <w:t>7</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"_Toc465441664"</w:instrText>
      </w:r>
      <w:r>
        <w:rPr>
          <w:rStyle w:val="9"/>
        </w:rPr>
        <w:instrText xml:space="preserve"> </w:instrText>
      </w:r>
      <w:r>
        <w:fldChar w:fldCharType="separate"/>
      </w:r>
      <w:r>
        <w:rPr>
          <w:rStyle w:val="9"/>
          <w:b/>
        </w:rPr>
        <w:t>14</w:t>
      </w:r>
      <w:r>
        <w:rPr>
          <w:rStyle w:val="9"/>
          <w:rFonts w:hint="eastAsia"/>
          <w:b/>
        </w:rPr>
        <w:t>、合同计价、计量</w:t>
      </w:r>
      <w:r>
        <w:tab/>
      </w:r>
      <w:r>
        <w:fldChar w:fldCharType="begin"/>
      </w:r>
      <w:r>
        <w:instrText xml:space="preserve"> PAGEREF _Toc465441664 \h </w:instrText>
      </w:r>
      <w:r>
        <w:fldChar w:fldCharType="separate"/>
      </w:r>
      <w:r>
        <w:rPr>
          <w:b/>
        </w:rPr>
        <w:t>错误！未定义书签。</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"_Toc465441665"</w:instrText>
      </w:r>
      <w:r>
        <w:rPr>
          <w:rStyle w:val="9"/>
        </w:rPr>
        <w:instrText xml:space="preserve"> </w:instrText>
      </w:r>
      <w:r>
        <w:fldChar w:fldCharType="separate"/>
      </w:r>
      <w:r>
        <w:rPr>
          <w:rStyle w:val="9"/>
          <w:rFonts w:ascii="宋体" w:hAnsi="宋体" w:cs="Arial"/>
        </w:rPr>
        <w:t xml:space="preserve">14.1 </w:t>
      </w:r>
      <w:r>
        <w:rPr>
          <w:rStyle w:val="9"/>
          <w:rFonts w:hint="eastAsia" w:ascii="宋体" w:hAnsi="宋体" w:cs="Arial"/>
        </w:rPr>
        <w:t>合同价款</w:t>
      </w:r>
      <w:r>
        <w:tab/>
      </w:r>
      <w:r>
        <w:fldChar w:fldCharType="begin"/>
      </w:r>
      <w:r>
        <w:instrText xml:space="preserve"> PAGEREF _Toc465441665 \h </w:instrText>
      </w:r>
      <w:r>
        <w:fldChar w:fldCharType="separate"/>
      </w:r>
      <w:r>
        <w:rPr>
          <w:b/>
        </w:rPr>
        <w:t>错误！未定义书签。</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"_Toc465441666"</w:instrText>
      </w:r>
      <w:r>
        <w:rPr>
          <w:rStyle w:val="9"/>
        </w:rPr>
        <w:instrText xml:space="preserve"> </w:instrText>
      </w:r>
      <w:r>
        <w:fldChar w:fldCharType="separate"/>
      </w:r>
      <w:r>
        <w:rPr>
          <w:rStyle w:val="9"/>
          <w:b/>
        </w:rPr>
        <w:t>15</w:t>
      </w:r>
      <w:r>
        <w:rPr>
          <w:rStyle w:val="9"/>
          <w:rFonts w:hint="eastAsia"/>
          <w:b/>
        </w:rPr>
        <w:t>、工程变更</w:t>
      </w:r>
      <w:r>
        <w:tab/>
      </w:r>
      <w:r>
        <w:fldChar w:fldCharType="begin"/>
      </w:r>
      <w:r>
        <w:instrText xml:space="preserve"> PAGEREF _Toc465441666 \h </w:instrText>
      </w:r>
      <w:r>
        <w:fldChar w:fldCharType="separate"/>
      </w:r>
      <w:r>
        <w:t>8</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"_Toc465441667"</w:instrText>
      </w:r>
      <w:r>
        <w:rPr>
          <w:rStyle w:val="9"/>
        </w:rPr>
        <w:instrText xml:space="preserve"> </w:instrText>
      </w:r>
      <w:r>
        <w:fldChar w:fldCharType="separate"/>
      </w:r>
      <w:r>
        <w:rPr>
          <w:rStyle w:val="9"/>
        </w:rPr>
        <w:t xml:space="preserve">15.2 </w:t>
      </w:r>
      <w:r>
        <w:rPr>
          <w:rStyle w:val="9"/>
          <w:rFonts w:hint="eastAsia"/>
        </w:rPr>
        <w:t>变更、签证价款的确定</w:t>
      </w:r>
      <w:r>
        <w:tab/>
      </w:r>
      <w:r>
        <w:fldChar w:fldCharType="begin"/>
      </w:r>
      <w:r>
        <w:instrText xml:space="preserve"> PAGEREF _Toc465441667 \h </w:instrText>
      </w:r>
      <w:r>
        <w:fldChar w:fldCharType="separate"/>
      </w:r>
      <w:r>
        <w:rPr>
          <w:b/>
        </w:rPr>
        <w:t>错误！未定义书签。</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"_Toc465441668"</w:instrText>
      </w:r>
      <w:r>
        <w:rPr>
          <w:rStyle w:val="9"/>
        </w:rPr>
        <w:instrText xml:space="preserve"> </w:instrText>
      </w:r>
      <w:r>
        <w:fldChar w:fldCharType="separate"/>
      </w:r>
      <w:r>
        <w:rPr>
          <w:rStyle w:val="9"/>
          <w:b/>
        </w:rPr>
        <w:t>16</w:t>
      </w:r>
      <w:r>
        <w:rPr>
          <w:rStyle w:val="9"/>
          <w:rFonts w:hint="eastAsia"/>
          <w:b/>
        </w:rPr>
        <w:t>、支付和结算</w:t>
      </w:r>
      <w:r>
        <w:tab/>
      </w:r>
      <w:r>
        <w:fldChar w:fldCharType="begin"/>
      </w:r>
      <w:r>
        <w:instrText xml:space="preserve"> PAGEREF _Toc465441668 \h </w:instrText>
      </w:r>
      <w:r>
        <w:fldChar w:fldCharType="separate"/>
      </w:r>
      <w:r>
        <w:t>8</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"_Toc465441669"</w:instrText>
      </w:r>
      <w:r>
        <w:rPr>
          <w:rStyle w:val="9"/>
        </w:rPr>
        <w:instrText xml:space="preserve"> </w:instrText>
      </w:r>
      <w:r>
        <w:fldChar w:fldCharType="separate"/>
      </w:r>
      <w:r>
        <w:rPr>
          <w:rStyle w:val="9"/>
        </w:rPr>
        <w:t xml:space="preserve">16.1 </w:t>
      </w:r>
      <w:r>
        <w:rPr>
          <w:rStyle w:val="9"/>
          <w:rFonts w:hint="eastAsia"/>
        </w:rPr>
        <w:t>工程款支付</w:t>
      </w:r>
      <w:r>
        <w:tab/>
      </w:r>
      <w:r>
        <w:fldChar w:fldCharType="begin"/>
      </w:r>
      <w:r>
        <w:instrText xml:space="preserve"> PAGEREF _Toc465441669 \h </w:instrText>
      </w:r>
      <w:r>
        <w:fldChar w:fldCharType="separate"/>
      </w:r>
      <w:r>
        <w:rPr>
          <w:b/>
        </w:rPr>
        <w:t>错误！未定义书签。</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"_Toc465441670"</w:instrText>
      </w:r>
      <w:r>
        <w:rPr>
          <w:rStyle w:val="9"/>
        </w:rPr>
        <w:instrText xml:space="preserve"> </w:instrText>
      </w:r>
      <w:r>
        <w:fldChar w:fldCharType="separate"/>
      </w:r>
      <w:r>
        <w:rPr>
          <w:rStyle w:val="9"/>
          <w:b/>
        </w:rPr>
        <w:t>17</w:t>
      </w:r>
      <w:r>
        <w:rPr>
          <w:rStyle w:val="9"/>
          <w:rFonts w:hint="eastAsia"/>
          <w:b/>
        </w:rPr>
        <w:t>、违约、索赔和争议</w:t>
      </w:r>
      <w:r>
        <w:tab/>
      </w:r>
      <w:r>
        <w:fldChar w:fldCharType="begin"/>
      </w:r>
      <w:r>
        <w:instrText xml:space="preserve"> PAGEREF _Toc465441670 \h </w:instrText>
      </w:r>
      <w:r>
        <w:fldChar w:fldCharType="separate"/>
      </w:r>
      <w:r>
        <w:t>11</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"_Toc465441671"</w:instrText>
      </w:r>
      <w:r>
        <w:rPr>
          <w:rStyle w:val="9"/>
        </w:rPr>
        <w:instrText xml:space="preserve"> </w:instrText>
      </w:r>
      <w:r>
        <w:fldChar w:fldCharType="separate"/>
      </w:r>
      <w:r>
        <w:rPr>
          <w:rStyle w:val="9"/>
        </w:rPr>
        <w:t xml:space="preserve">17.1 </w:t>
      </w:r>
      <w:r>
        <w:rPr>
          <w:rStyle w:val="9"/>
          <w:rFonts w:hint="eastAsia"/>
        </w:rPr>
        <w:t>违约</w:t>
      </w:r>
      <w:r>
        <w:tab/>
      </w:r>
      <w:r>
        <w:fldChar w:fldCharType="begin"/>
      </w:r>
      <w:r>
        <w:instrText xml:space="preserve"> PAGEREF _Toc465441671 \h </w:instrText>
      </w:r>
      <w:r>
        <w:fldChar w:fldCharType="separate"/>
      </w:r>
      <w:r>
        <w:t>11</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"_Toc465441672"</w:instrText>
      </w:r>
      <w:r>
        <w:rPr>
          <w:rStyle w:val="9"/>
        </w:rPr>
        <w:instrText xml:space="preserve"> </w:instrText>
      </w:r>
      <w:r>
        <w:fldChar w:fldCharType="separate"/>
      </w:r>
      <w:r>
        <w:rPr>
          <w:rStyle w:val="9"/>
        </w:rPr>
        <w:t xml:space="preserve">17.3 </w:t>
      </w:r>
      <w:r>
        <w:rPr>
          <w:rStyle w:val="9"/>
          <w:rFonts w:hint="eastAsia"/>
        </w:rPr>
        <w:t>争议</w:t>
      </w:r>
      <w:r>
        <w:tab/>
      </w:r>
      <w:r>
        <w:fldChar w:fldCharType="begin"/>
      </w:r>
      <w:r>
        <w:instrText xml:space="preserve"> PAGEREF _Toc465441672 \h </w:instrText>
      </w:r>
      <w:r>
        <w:fldChar w:fldCharType="separate"/>
      </w:r>
      <w:r>
        <w:t>12</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"_Toc465441673"</w:instrText>
      </w:r>
      <w:r>
        <w:rPr>
          <w:rStyle w:val="9"/>
        </w:rPr>
        <w:instrText xml:space="preserve"> </w:instrText>
      </w:r>
      <w:r>
        <w:fldChar w:fldCharType="separate"/>
      </w:r>
      <w:r>
        <w:rPr>
          <w:rStyle w:val="9"/>
          <w:b/>
        </w:rPr>
        <w:t>18</w:t>
      </w:r>
      <w:r>
        <w:rPr>
          <w:rStyle w:val="9"/>
          <w:rFonts w:hint="eastAsia"/>
          <w:b/>
        </w:rPr>
        <w:t>、不可抗力</w:t>
      </w:r>
      <w:r>
        <w:tab/>
      </w:r>
      <w:r>
        <w:fldChar w:fldCharType="begin"/>
      </w:r>
      <w:r>
        <w:instrText xml:space="preserve"> PAGEREF _Toc465441673 \h </w:instrText>
      </w:r>
      <w:r>
        <w:fldChar w:fldCharType="separate"/>
      </w:r>
      <w:r>
        <w:t>12</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"_Toc465441674"</w:instrText>
      </w:r>
      <w:r>
        <w:rPr>
          <w:rStyle w:val="9"/>
        </w:rPr>
        <w:instrText xml:space="preserve"> </w:instrText>
      </w:r>
      <w:r>
        <w:fldChar w:fldCharType="separate"/>
      </w:r>
      <w:r>
        <w:rPr>
          <w:rStyle w:val="9"/>
        </w:rPr>
        <w:t xml:space="preserve">18.1 </w:t>
      </w:r>
      <w:r>
        <w:rPr>
          <w:rStyle w:val="9"/>
          <w:rFonts w:hint="eastAsia"/>
        </w:rPr>
        <w:t>不可抗力</w:t>
      </w:r>
      <w:r>
        <w:tab/>
      </w:r>
      <w:r>
        <w:fldChar w:fldCharType="begin"/>
      </w:r>
      <w:r>
        <w:instrText xml:space="preserve"> PAGEREF _Toc465441674 \h </w:instrText>
      </w:r>
      <w:r>
        <w:fldChar w:fldCharType="separate"/>
      </w:r>
      <w:r>
        <w:t>12</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"_Toc465441675"</w:instrText>
      </w:r>
      <w:r>
        <w:rPr>
          <w:rStyle w:val="9"/>
        </w:rPr>
        <w:instrText xml:space="preserve"> </w:instrText>
      </w:r>
      <w:r>
        <w:fldChar w:fldCharType="separate"/>
      </w:r>
      <w:r>
        <w:rPr>
          <w:rStyle w:val="9"/>
          <w:b/>
        </w:rPr>
        <w:t>19</w:t>
      </w:r>
      <w:r>
        <w:rPr>
          <w:rStyle w:val="9"/>
          <w:rFonts w:hint="eastAsia"/>
          <w:b/>
        </w:rPr>
        <w:t>、工程保险</w:t>
      </w:r>
      <w:r>
        <w:tab/>
      </w:r>
      <w:r>
        <w:fldChar w:fldCharType="begin"/>
      </w:r>
      <w:r>
        <w:instrText xml:space="preserve"> PAGEREF _Toc465441675 \h </w:instrText>
      </w:r>
      <w:r>
        <w:fldChar w:fldCharType="separate"/>
      </w:r>
      <w:r>
        <w:t>12</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"_Toc465441676"</w:instrText>
      </w:r>
      <w:r>
        <w:rPr>
          <w:rStyle w:val="9"/>
        </w:rPr>
        <w:instrText xml:space="preserve"> </w:instrText>
      </w:r>
      <w:r>
        <w:fldChar w:fldCharType="separate"/>
      </w:r>
      <w:r>
        <w:rPr>
          <w:rStyle w:val="9"/>
        </w:rPr>
        <w:t xml:space="preserve">19.1 </w:t>
      </w:r>
      <w:r>
        <w:rPr>
          <w:rStyle w:val="9"/>
          <w:rFonts w:hint="eastAsia"/>
        </w:rPr>
        <w:t>建筑工程第三方责任险</w:t>
      </w:r>
      <w:r>
        <w:tab/>
      </w:r>
      <w:r>
        <w:fldChar w:fldCharType="begin"/>
      </w:r>
      <w:r>
        <w:instrText xml:space="preserve"> PAGEREF _Toc465441676 \h </w:instrText>
      </w:r>
      <w:r>
        <w:fldChar w:fldCharType="separate"/>
      </w:r>
      <w:r>
        <w:t>12</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"_Toc465441677"</w:instrText>
      </w:r>
      <w:r>
        <w:rPr>
          <w:rStyle w:val="9"/>
        </w:rPr>
        <w:instrText xml:space="preserve"> </w:instrText>
      </w:r>
      <w:r>
        <w:fldChar w:fldCharType="separate"/>
      </w:r>
      <w:r>
        <w:rPr>
          <w:rStyle w:val="9"/>
        </w:rPr>
        <w:t xml:space="preserve">19.2 </w:t>
      </w:r>
      <w:r>
        <w:rPr>
          <w:rStyle w:val="9"/>
          <w:rFonts w:hint="eastAsia"/>
        </w:rPr>
        <w:t>施工人员及施工机械设备保险</w:t>
      </w:r>
      <w:r>
        <w:tab/>
      </w:r>
      <w:r>
        <w:fldChar w:fldCharType="begin"/>
      </w:r>
      <w:r>
        <w:instrText xml:space="preserve"> PAGEREF _Toc465441677 \h </w:instrText>
      </w:r>
      <w:r>
        <w:fldChar w:fldCharType="separate"/>
      </w:r>
      <w:r>
        <w:t>12</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"_Toc465441678"</w:instrText>
      </w:r>
      <w:r>
        <w:rPr>
          <w:rStyle w:val="9"/>
        </w:rPr>
        <w:instrText xml:space="preserve"> </w:instrText>
      </w:r>
      <w:r>
        <w:fldChar w:fldCharType="separate"/>
      </w:r>
      <w:r>
        <w:rPr>
          <w:rStyle w:val="9"/>
          <w:b/>
        </w:rPr>
        <w:t>20</w:t>
      </w:r>
      <w:r>
        <w:rPr>
          <w:rStyle w:val="9"/>
          <w:rFonts w:hint="eastAsia"/>
          <w:b/>
        </w:rPr>
        <w:t>、工程担保</w:t>
      </w:r>
      <w:r>
        <w:tab/>
      </w:r>
      <w:r>
        <w:fldChar w:fldCharType="begin"/>
      </w:r>
      <w:r>
        <w:instrText xml:space="preserve"> PAGEREF _Toc465441678 \h </w:instrText>
      </w:r>
      <w:r>
        <w:fldChar w:fldCharType="separate"/>
      </w:r>
      <w:r>
        <w:rPr>
          <w:b/>
        </w:rPr>
        <w:t>错误！未定义书签。</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"_Toc465441679"</w:instrText>
      </w:r>
      <w:r>
        <w:rPr>
          <w:rStyle w:val="9"/>
        </w:rPr>
        <w:instrText xml:space="preserve"> </w:instrText>
      </w:r>
      <w:r>
        <w:fldChar w:fldCharType="separate"/>
      </w:r>
      <w:r>
        <w:rPr>
          <w:rStyle w:val="9"/>
        </w:rPr>
        <w:t>20.1</w:t>
      </w:r>
      <w:r>
        <w:rPr>
          <w:rStyle w:val="9"/>
          <w:rFonts w:hint="eastAsia"/>
        </w:rPr>
        <w:t>、履约担保</w:t>
      </w:r>
      <w:r>
        <w:tab/>
      </w:r>
      <w:r>
        <w:fldChar w:fldCharType="begin"/>
      </w:r>
      <w:r>
        <w:instrText xml:space="preserve"> PAGEREF _Toc465441679 \h </w:instrText>
      </w:r>
      <w:r>
        <w:fldChar w:fldCharType="separate"/>
      </w:r>
      <w:r>
        <w:rPr>
          <w:b/>
        </w:rPr>
        <w:t>错误！未定义书签。</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"_Toc465441680"</w:instrText>
      </w:r>
      <w:r>
        <w:rPr>
          <w:rStyle w:val="9"/>
        </w:rPr>
        <w:instrText xml:space="preserve"> </w:instrText>
      </w:r>
      <w:r>
        <w:fldChar w:fldCharType="separate"/>
      </w:r>
      <w:r>
        <w:rPr>
          <w:rStyle w:val="9"/>
          <w:b/>
        </w:rPr>
        <w:t>21</w:t>
      </w:r>
      <w:r>
        <w:rPr>
          <w:rStyle w:val="9"/>
          <w:rFonts w:hint="eastAsia"/>
          <w:b/>
        </w:rPr>
        <w:t>、合同的生效、终止和解除</w:t>
      </w:r>
      <w:r>
        <w:tab/>
      </w:r>
      <w:r>
        <w:fldChar w:fldCharType="begin"/>
      </w:r>
      <w:r>
        <w:instrText xml:space="preserve"> PAGEREF _Toc465441680 \h </w:instrText>
      </w:r>
      <w:r>
        <w:fldChar w:fldCharType="separate"/>
      </w:r>
      <w:r>
        <w:t>12</w:t>
      </w:r>
      <w:r>
        <w:fldChar w:fldCharType="end"/>
      </w:r>
      <w:r>
        <w:fldChar w:fldCharType="end"/>
      </w:r>
    </w:p>
    <w:p>
      <w:pPr>
        <w:pStyle w:val="4"/>
        <w:rPr>
          <w:rFonts w:ascii="Calibri" w:hAnsi="Calibri"/>
          <w:szCs w:val="22"/>
        </w:rPr>
      </w:pPr>
      <w:r>
        <w:fldChar w:fldCharType="begin"/>
      </w:r>
      <w:r>
        <w:rPr>
          <w:rStyle w:val="9"/>
        </w:rPr>
        <w:instrText xml:space="preserve"> </w:instrText>
      </w:r>
      <w:r>
        <w:instrText xml:space="preserve">HYPERLINK \l "_Toc465441681"</w:instrText>
      </w:r>
      <w:r>
        <w:rPr>
          <w:rStyle w:val="9"/>
        </w:rPr>
        <w:instrText xml:space="preserve"> </w:instrText>
      </w:r>
      <w:r>
        <w:fldChar w:fldCharType="separate"/>
      </w:r>
      <w:r>
        <w:rPr>
          <w:rStyle w:val="9"/>
        </w:rPr>
        <w:t xml:space="preserve">21.3 </w:t>
      </w:r>
      <w:r>
        <w:rPr>
          <w:rStyle w:val="9"/>
          <w:rFonts w:hint="eastAsia"/>
        </w:rPr>
        <w:t>合同效力及份数</w:t>
      </w:r>
      <w:r>
        <w:tab/>
      </w:r>
      <w:r>
        <w:fldChar w:fldCharType="begin"/>
      </w:r>
      <w:r>
        <w:instrText xml:space="preserve"> PAGEREF _Toc465441681 \h </w:instrText>
      </w:r>
      <w:r>
        <w:fldChar w:fldCharType="separate"/>
      </w:r>
      <w:r>
        <w:t>12</w:t>
      </w:r>
      <w:r>
        <w:fldChar w:fldCharType="end"/>
      </w:r>
      <w:r>
        <w:fldChar w:fldCharType="end"/>
      </w:r>
    </w:p>
    <w:p>
      <w:pPr>
        <w:jc w:val="center"/>
        <w:sectPr>
          <w:headerReference r:id="rId5" w:type="first"/>
          <w:footerReference r:id="rId7" w:type="first"/>
          <w:headerReference r:id="rId3" w:type="default"/>
          <w:footerReference r:id="rId6" w:type="default"/>
          <w:headerReference r:id="rId4" w:type="even"/>
          <w:pgSz w:w="11906" w:h="16838"/>
          <w:pgMar w:top="1440" w:right="1797" w:bottom="1440" w:left="1797" w:header="777" w:footer="680" w:gutter="0"/>
          <w:pgNumType w:start="1"/>
          <w:cols w:space="720" w:num="1"/>
          <w:titlePg/>
          <w:docGrid w:linePitch="312" w:charSpace="0"/>
        </w:sectPr>
      </w:pPr>
      <w:r>
        <w:fldChar w:fldCharType="end"/>
      </w:r>
      <w:bookmarkStart w:id="5" w:name="_Toc351542551"/>
    </w:p>
    <w:p>
      <w:pPr>
        <w:rPr>
          <w:sz w:val="44"/>
          <w:szCs w:val="44"/>
        </w:rPr>
      </w:pPr>
    </w:p>
    <w:p>
      <w:pPr>
        <w:jc w:val="center"/>
        <w:rPr>
          <w:b/>
          <w:sz w:val="44"/>
          <w:szCs w:val="44"/>
        </w:rPr>
      </w:pPr>
      <w:r>
        <w:rPr>
          <w:b/>
          <w:sz w:val="44"/>
          <w:szCs w:val="44"/>
        </w:rPr>
        <w:t>专用条款</w:t>
      </w:r>
      <w:bookmarkEnd w:id="0"/>
      <w:bookmarkEnd w:id="1"/>
      <w:bookmarkEnd w:id="2"/>
      <w:bookmarkEnd w:id="3"/>
      <w:bookmarkEnd w:id="4"/>
      <w:bookmarkEnd w:id="5"/>
    </w:p>
    <w:p>
      <w:pPr>
        <w:pStyle w:val="2"/>
        <w:spacing w:before="0" w:after="0" w:line="360" w:lineRule="auto"/>
        <w:rPr>
          <w:b/>
          <w:sz w:val="24"/>
          <w:szCs w:val="24"/>
        </w:rPr>
      </w:pPr>
      <w:bookmarkStart w:id="6" w:name="_Toc465441628"/>
      <w:bookmarkStart w:id="7" w:name="_Toc122080341"/>
      <w:bookmarkStart w:id="8" w:name="_Toc168739612"/>
      <w:bookmarkStart w:id="9" w:name="_Toc78944655"/>
      <w:bookmarkStart w:id="10" w:name="_Toc89406011"/>
      <w:r>
        <w:rPr>
          <w:b/>
          <w:sz w:val="24"/>
          <w:szCs w:val="24"/>
        </w:rPr>
        <w:t>1、词语定义及解释</w:t>
      </w:r>
      <w:bookmarkEnd w:id="6"/>
      <w:bookmarkEnd w:id="7"/>
      <w:bookmarkEnd w:id="8"/>
      <w:bookmarkEnd w:id="9"/>
      <w:bookmarkEnd w:id="10"/>
    </w:p>
    <w:p>
      <w:pPr>
        <w:pStyle w:val="10"/>
        <w:numPr>
          <w:ilvl w:val="0"/>
          <w:numId w:val="0"/>
        </w:numPr>
        <w:spacing w:before="0" w:after="0" w:line="360" w:lineRule="auto"/>
        <w:rPr>
          <w:b w:val="0"/>
          <w:szCs w:val="24"/>
        </w:rPr>
      </w:pPr>
      <w:bookmarkStart w:id="11" w:name="_Toc78944656"/>
      <w:bookmarkStart w:id="12" w:name="_Toc122080342"/>
      <w:bookmarkStart w:id="13" w:name="_Toc168739613"/>
      <w:bookmarkStart w:id="14" w:name="_Toc89406012"/>
      <w:bookmarkStart w:id="15" w:name="_Toc465441629"/>
      <w:r>
        <w:rPr>
          <w:b w:val="0"/>
          <w:szCs w:val="24"/>
        </w:rPr>
        <w:t>1.1 词语定义</w:t>
      </w:r>
      <w:bookmarkEnd w:id="11"/>
      <w:bookmarkEnd w:id="12"/>
      <w:bookmarkEnd w:id="13"/>
      <w:bookmarkEnd w:id="14"/>
      <w:bookmarkEnd w:id="15"/>
    </w:p>
    <w:p>
      <w:pPr>
        <w:spacing w:line="360" w:lineRule="auto"/>
        <w:ind w:firstLine="204" w:firstLineChars="85"/>
        <w:rPr>
          <w:sz w:val="24"/>
        </w:rPr>
      </w:pPr>
      <w:r>
        <w:rPr>
          <w:sz w:val="24"/>
        </w:rPr>
        <w:t>同通用条款</w:t>
      </w:r>
    </w:p>
    <w:p>
      <w:pPr>
        <w:spacing w:line="360" w:lineRule="auto"/>
        <w:ind w:firstLine="204" w:firstLineChars="85"/>
        <w:rPr>
          <w:sz w:val="24"/>
        </w:rPr>
      </w:pPr>
      <w:r>
        <w:rPr>
          <w:sz w:val="24"/>
        </w:rPr>
        <w:t xml:space="preserve">1.1.4 </w:t>
      </w:r>
      <w:r>
        <w:rPr>
          <w:rFonts w:hint="eastAsia"/>
          <w:sz w:val="24"/>
        </w:rPr>
        <w:t>发包人信息详见合同协议书。</w:t>
      </w:r>
    </w:p>
    <w:p>
      <w:pPr>
        <w:spacing w:line="360" w:lineRule="auto"/>
        <w:ind w:firstLine="204" w:firstLineChars="85"/>
        <w:rPr>
          <w:rFonts w:hint="eastAsia"/>
          <w:sz w:val="24"/>
        </w:rPr>
      </w:pPr>
      <w:r>
        <w:rPr>
          <w:sz w:val="24"/>
        </w:rPr>
        <w:t>1.1.6</w:t>
      </w:r>
      <w:r>
        <w:rPr>
          <w:rFonts w:hint="eastAsia"/>
          <w:sz w:val="24"/>
        </w:rPr>
        <w:t xml:space="preserve"> 承包人信息详见合同协议书。</w:t>
      </w:r>
    </w:p>
    <w:p>
      <w:pPr>
        <w:spacing w:line="360" w:lineRule="auto"/>
        <w:ind w:firstLine="204" w:firstLineChars="85"/>
        <w:rPr>
          <w:rFonts w:hint="eastAsia"/>
          <w:sz w:val="24"/>
        </w:rPr>
      </w:pPr>
      <w:r>
        <w:rPr>
          <w:rFonts w:hint="eastAsia"/>
          <w:sz w:val="24"/>
        </w:rPr>
        <w:t>1.1.</w:t>
      </w:r>
      <w:r>
        <w:rPr>
          <w:sz w:val="24"/>
        </w:rPr>
        <w:t>8</w:t>
      </w:r>
      <w:r>
        <w:rPr>
          <w:rFonts w:hint="eastAsia"/>
          <w:sz w:val="24"/>
        </w:rPr>
        <w:t>总承包人全称：</w:t>
      </w:r>
      <w:r>
        <w:rPr>
          <w:sz w:val="24"/>
          <w:u w:val="single"/>
        </w:rPr>
        <w:t xml:space="preserve"> </w:t>
      </w:r>
      <w:r>
        <w:rPr>
          <w:rFonts w:hint="eastAsia"/>
          <w:sz w:val="24"/>
          <w:u w:val="single"/>
          <w:lang w:val="en-US" w:eastAsia="zh-CN"/>
        </w:rPr>
        <w:t xml:space="preserve">                                  </w:t>
      </w:r>
      <w:r>
        <w:rPr>
          <w:sz w:val="24"/>
          <w:u w:val="single"/>
        </w:rPr>
        <w:t xml:space="preserve"> </w:t>
      </w:r>
      <w:r>
        <w:rPr>
          <w:sz w:val="24"/>
        </w:rPr>
        <w:t>。</w:t>
      </w:r>
    </w:p>
    <w:p>
      <w:pPr>
        <w:spacing w:line="360" w:lineRule="auto"/>
        <w:ind w:firstLine="204" w:firstLineChars="85"/>
        <w:rPr>
          <w:sz w:val="24"/>
          <w:u w:val="single"/>
        </w:rPr>
      </w:pPr>
      <w:r>
        <w:rPr>
          <w:sz w:val="24"/>
        </w:rPr>
        <w:t>1.1.11监理方全称：</w:t>
      </w:r>
      <w:r>
        <w:rPr>
          <w:sz w:val="24"/>
          <w:u w:val="single"/>
        </w:rPr>
        <w:t xml:space="preserve"> </w:t>
      </w:r>
      <w:r>
        <w:rPr>
          <w:rFonts w:hint="eastAsia"/>
          <w:sz w:val="24"/>
          <w:u w:val="single"/>
          <w:lang w:val="en-US" w:eastAsia="zh-CN"/>
        </w:rPr>
        <w:t xml:space="preserve">                                   </w:t>
      </w:r>
      <w:r>
        <w:rPr>
          <w:rFonts w:hint="eastAsia"/>
          <w:sz w:val="24"/>
          <w:u w:val="single"/>
        </w:rPr>
        <w:t xml:space="preserve"> </w:t>
      </w:r>
      <w:r>
        <w:rPr>
          <w:sz w:val="24"/>
          <w:u w:val="single"/>
        </w:rPr>
        <w:t xml:space="preserve">  </w:t>
      </w:r>
      <w:r>
        <w:rPr>
          <w:sz w:val="24"/>
        </w:rPr>
        <w:t>。</w:t>
      </w:r>
    </w:p>
    <w:p>
      <w:pPr>
        <w:spacing w:line="360" w:lineRule="auto"/>
        <w:ind w:firstLine="204" w:firstLineChars="85"/>
        <w:rPr>
          <w:sz w:val="24"/>
          <w:u w:val="single"/>
        </w:rPr>
      </w:pPr>
      <w:r>
        <w:rPr>
          <w:sz w:val="24"/>
        </w:rPr>
        <w:t>1.1.13设计方全称：</w:t>
      </w:r>
      <w:r>
        <w:rPr>
          <w:rFonts w:hint="eastAsia"/>
          <w:sz w:val="24"/>
          <w:u w:val="single"/>
          <w:lang w:val="en-US" w:eastAsia="zh-CN"/>
        </w:rPr>
        <w:t xml:space="preserve">                                       </w:t>
      </w:r>
      <w:r>
        <w:rPr>
          <w:sz w:val="24"/>
        </w:rPr>
        <w:t>。</w:t>
      </w:r>
    </w:p>
    <w:p>
      <w:pPr>
        <w:pStyle w:val="10"/>
        <w:numPr>
          <w:ilvl w:val="0"/>
          <w:numId w:val="0"/>
        </w:numPr>
        <w:spacing w:before="0" w:after="0" w:line="360" w:lineRule="auto"/>
        <w:rPr>
          <w:b w:val="0"/>
          <w:szCs w:val="24"/>
        </w:rPr>
      </w:pPr>
      <w:bookmarkStart w:id="16" w:name="_Toc465441630"/>
      <w:bookmarkStart w:id="17" w:name="_Toc168739614"/>
      <w:bookmarkStart w:id="18" w:name="_Toc122080343"/>
      <w:r>
        <w:rPr>
          <w:b w:val="0"/>
          <w:szCs w:val="24"/>
        </w:rPr>
        <w:t>1.2 标题和旁注</w:t>
      </w:r>
      <w:bookmarkEnd w:id="16"/>
      <w:bookmarkEnd w:id="17"/>
      <w:bookmarkEnd w:id="18"/>
    </w:p>
    <w:p>
      <w:pPr>
        <w:spacing w:line="360" w:lineRule="auto"/>
        <w:ind w:firstLine="240" w:firstLineChars="100"/>
        <w:rPr>
          <w:sz w:val="24"/>
        </w:rPr>
      </w:pPr>
      <w:r>
        <w:rPr>
          <w:sz w:val="24"/>
        </w:rPr>
        <w:t>同通用条款。</w:t>
      </w:r>
    </w:p>
    <w:p>
      <w:pPr>
        <w:pStyle w:val="2"/>
        <w:spacing w:before="0" w:after="0" w:line="360" w:lineRule="auto"/>
        <w:rPr>
          <w:b/>
          <w:sz w:val="24"/>
          <w:szCs w:val="24"/>
        </w:rPr>
      </w:pPr>
      <w:bookmarkStart w:id="19" w:name="_Toc122080344"/>
      <w:bookmarkStart w:id="20" w:name="_Toc465441631"/>
      <w:bookmarkStart w:id="21" w:name="_Toc168739615"/>
      <w:bookmarkStart w:id="22" w:name="_Toc89406015"/>
      <w:bookmarkStart w:id="23" w:name="_Toc78944659"/>
      <w:r>
        <w:rPr>
          <w:b/>
          <w:sz w:val="24"/>
          <w:szCs w:val="24"/>
        </w:rPr>
        <w:t>2、合同文件</w:t>
      </w:r>
      <w:bookmarkEnd w:id="19"/>
      <w:bookmarkEnd w:id="20"/>
      <w:bookmarkEnd w:id="21"/>
      <w:bookmarkEnd w:id="22"/>
      <w:bookmarkEnd w:id="23"/>
    </w:p>
    <w:p>
      <w:pPr>
        <w:pStyle w:val="10"/>
        <w:numPr>
          <w:ilvl w:val="0"/>
          <w:numId w:val="0"/>
        </w:numPr>
        <w:spacing w:before="0" w:after="0" w:line="360" w:lineRule="auto"/>
        <w:rPr>
          <w:b w:val="0"/>
          <w:szCs w:val="24"/>
        </w:rPr>
      </w:pPr>
      <w:bookmarkStart w:id="24" w:name="_Toc122080345"/>
      <w:bookmarkStart w:id="25" w:name="_Toc465441632"/>
      <w:bookmarkStart w:id="26" w:name="_Toc168739616"/>
      <w:r>
        <w:rPr>
          <w:b w:val="0"/>
          <w:szCs w:val="24"/>
        </w:rPr>
        <w:t>2.1 书面形式</w:t>
      </w:r>
      <w:bookmarkEnd w:id="24"/>
      <w:bookmarkEnd w:id="25"/>
      <w:bookmarkEnd w:id="26"/>
    </w:p>
    <w:p>
      <w:pPr>
        <w:tabs>
          <w:tab w:val="left" w:pos="2145"/>
        </w:tabs>
        <w:spacing w:line="360" w:lineRule="auto"/>
        <w:rPr>
          <w:sz w:val="24"/>
        </w:rPr>
      </w:pPr>
      <w:r>
        <w:rPr>
          <w:rFonts w:hint="eastAsia"/>
          <w:sz w:val="24"/>
        </w:rPr>
        <w:t>2.1.1</w:t>
      </w:r>
      <w:r>
        <w:rPr>
          <w:sz w:val="24"/>
        </w:rPr>
        <w:t>关于书面形式的文件</w:t>
      </w:r>
      <w:r>
        <w:rPr>
          <w:rFonts w:hint="eastAsia"/>
          <w:sz w:val="24"/>
        </w:rPr>
        <w:t>（包括但不限于</w:t>
      </w:r>
      <w:r>
        <w:rPr>
          <w:sz w:val="24"/>
        </w:rPr>
        <w:t>通知、指</w:t>
      </w:r>
      <w:r>
        <w:rPr>
          <w:rFonts w:hint="eastAsia"/>
          <w:sz w:val="24"/>
        </w:rPr>
        <w:t>令</w:t>
      </w:r>
      <w:r>
        <w:rPr>
          <w:sz w:val="24"/>
        </w:rPr>
        <w:t>、批准、证书</w:t>
      </w:r>
      <w:r>
        <w:rPr>
          <w:rFonts w:hint="eastAsia"/>
          <w:sz w:val="24"/>
        </w:rPr>
        <w:t>等）</w:t>
      </w:r>
      <w:r>
        <w:rPr>
          <w:sz w:val="24"/>
        </w:rPr>
        <w:t>双方约定接收方式如下：</w:t>
      </w:r>
    </w:p>
    <w:p>
      <w:pPr>
        <w:widowControl/>
        <w:jc w:val="left"/>
        <w:rPr>
          <w:rFonts w:hint="eastAsia" w:ascii="宋体" w:hAnsi="宋体" w:cs="宋体"/>
          <w:kern w:val="0"/>
          <w:sz w:val="24"/>
        </w:rPr>
      </w:pPr>
      <w:bookmarkStart w:id="27" w:name="_Toc168739617"/>
      <w:bookmarkStart w:id="28" w:name="_Toc122080346"/>
      <w:bookmarkStart w:id="29" w:name="_Toc465441633"/>
      <w:r>
        <w:rPr>
          <w:rFonts w:ascii="宋体" w:hAnsi="宋体" w:cs="宋体"/>
          <w:kern w:val="0"/>
          <w:sz w:val="24"/>
        </w:rPr>
        <w:t>2.1.1.1 </w:t>
      </w:r>
    </w:p>
    <w:p>
      <w:pPr>
        <w:widowControl/>
        <w:jc w:val="left"/>
        <w:rPr>
          <w:rFonts w:ascii="宋体" w:hAnsi="宋体" w:cs="宋体"/>
          <w:kern w:val="0"/>
          <w:sz w:val="24"/>
        </w:rPr>
      </w:pPr>
      <w:r>
        <w:rPr>
          <w:rFonts w:ascii="宋体" w:hAnsi="宋体" w:cs="宋体"/>
          <w:kern w:val="0"/>
          <w:sz w:val="24"/>
        </w:rPr>
        <w:t>发包人接收人：</w:t>
      </w:r>
      <w:r>
        <w:rPr>
          <w:rFonts w:hint="eastAsia" w:ascii="宋体" w:hAnsi="宋体" w:cs="宋体"/>
          <w:kern w:val="0"/>
          <w:sz w:val="24"/>
          <w:u w:val="single"/>
          <w:lang w:val="en-US" w:eastAsia="zh-CN"/>
        </w:rPr>
        <w:t xml:space="preserve">        </w:t>
      </w:r>
      <w:r>
        <w:rPr>
          <w:rFonts w:ascii="宋体" w:hAnsi="宋体" w:cs="宋体"/>
          <w:kern w:val="0"/>
          <w:sz w:val="24"/>
        </w:rPr>
        <w:t>，接收地点：</w:t>
      </w:r>
      <w:r>
        <w:rPr>
          <w:rFonts w:hint="eastAsia" w:ascii="宋体" w:hAnsi="宋体" w:cs="宋体"/>
          <w:kern w:val="0"/>
          <w:sz w:val="24"/>
          <w:szCs w:val="24"/>
          <w:u w:val="single"/>
          <w:lang w:val="en-US" w:eastAsia="zh-CN" w:bidi="ar"/>
        </w:rPr>
        <w:t xml:space="preserve">                                    </w:t>
      </w:r>
      <w:r>
        <w:rPr>
          <w:rFonts w:ascii="宋体" w:hAnsi="宋体" w:cs="宋体"/>
          <w:kern w:val="0"/>
          <w:sz w:val="24"/>
        </w:rPr>
        <w:t>，传真：</w:t>
      </w:r>
      <w:r>
        <w:rPr>
          <w:rFonts w:hint="eastAsia"/>
          <w:sz w:val="24"/>
          <w:u w:val="single"/>
          <w:lang w:val="en-US" w:eastAsia="zh-CN"/>
        </w:rPr>
        <w:t xml:space="preserve">               </w:t>
      </w:r>
      <w:r>
        <w:rPr>
          <w:rFonts w:ascii="宋体" w:hAnsi="宋体" w:cs="宋体"/>
          <w:kern w:val="0"/>
          <w:sz w:val="24"/>
        </w:rPr>
        <w:t>。 </w:t>
      </w:r>
      <w:r>
        <w:rPr>
          <w:rFonts w:ascii="宋体" w:hAnsi="宋体" w:cs="宋体"/>
          <w:kern w:val="0"/>
          <w:sz w:val="24"/>
        </w:rPr>
        <w:br w:type="textWrapping"/>
      </w:r>
      <w:r>
        <w:rPr>
          <w:rFonts w:ascii="宋体" w:hAnsi="宋体" w:cs="宋体"/>
          <w:kern w:val="0"/>
          <w:sz w:val="24"/>
        </w:rPr>
        <w:t>2.1.1.2 </w:t>
      </w:r>
      <w:r>
        <w:rPr>
          <w:rFonts w:ascii="宋体" w:hAnsi="宋体" w:cs="宋体"/>
          <w:kern w:val="0"/>
          <w:sz w:val="24"/>
        </w:rPr>
        <w:br w:type="textWrapping"/>
      </w:r>
      <w:r>
        <w:rPr>
          <w:rFonts w:ascii="宋体" w:hAnsi="宋体" w:cs="宋体"/>
          <w:kern w:val="0"/>
          <w:sz w:val="24"/>
        </w:rPr>
        <w:t>承包人接收人：</w:t>
      </w:r>
      <w:r>
        <w:rPr>
          <w:rFonts w:ascii="宋体" w:hAnsi="宋体" w:cs="宋体"/>
          <w:kern w:val="0"/>
          <w:sz w:val="24"/>
          <w:u w:val="single"/>
        </w:rPr>
        <w:t> </w:t>
      </w:r>
      <w:r>
        <w:rPr>
          <w:rFonts w:hint="eastAsia" w:ascii="宋体" w:hAnsi="宋体" w:cs="宋体"/>
          <w:kern w:val="0"/>
          <w:sz w:val="24"/>
          <w:u w:val="single"/>
          <w:lang w:val="en-US" w:eastAsia="zh-CN"/>
        </w:rPr>
        <w:t xml:space="preserve">     </w:t>
      </w:r>
      <w:r>
        <w:rPr>
          <w:rFonts w:ascii="宋体" w:hAnsi="宋体" w:cs="宋体"/>
          <w:kern w:val="0"/>
          <w:sz w:val="24"/>
          <w:u w:val="single"/>
        </w:rPr>
        <w:t> </w:t>
      </w:r>
      <w:r>
        <w:rPr>
          <w:rFonts w:ascii="宋体" w:hAnsi="宋体" w:cs="宋体"/>
          <w:kern w:val="0"/>
          <w:sz w:val="24"/>
        </w:rPr>
        <w:t>，接收地点：</w:t>
      </w:r>
      <w:r>
        <w:rPr>
          <w:rFonts w:hint="eastAsia" w:ascii="Arial" w:hAnsi="Arial" w:cs="Arial"/>
          <w:spacing w:val="10"/>
          <w:sz w:val="22"/>
          <w:szCs w:val="22"/>
          <w:u w:val="single"/>
          <w:lang w:val="en-US" w:eastAsia="zh-CN"/>
        </w:rPr>
        <w:t xml:space="preserve">                            </w:t>
      </w:r>
      <w:r>
        <w:rPr>
          <w:rFonts w:ascii="Arial" w:hAnsi="Arial" w:cs="Arial"/>
          <w:spacing w:val="10"/>
          <w:sz w:val="22"/>
          <w:szCs w:val="22"/>
          <w:u w:val="single"/>
        </w:rPr>
        <w:t xml:space="preserve"> </w:t>
      </w:r>
      <w:r>
        <w:rPr>
          <w:rFonts w:ascii="宋体" w:hAnsi="宋体" w:cs="宋体"/>
          <w:kern w:val="0"/>
          <w:sz w:val="24"/>
        </w:rPr>
        <w:t>，传真：</w:t>
      </w:r>
      <w:r>
        <w:rPr>
          <w:rFonts w:hint="eastAsia" w:ascii="宋体" w:hAnsi="宋体" w:cs="宋体"/>
          <w:kern w:val="0"/>
          <w:sz w:val="24"/>
          <w:u w:val="single"/>
          <w:lang w:val="en-US" w:eastAsia="zh-CN"/>
        </w:rPr>
        <w:t xml:space="preserve">           </w:t>
      </w:r>
      <w:r>
        <w:rPr>
          <w:rFonts w:ascii="宋体" w:hAnsi="宋体" w:cs="宋体"/>
          <w:kern w:val="0"/>
          <w:sz w:val="24"/>
          <w:u w:val="single"/>
        </w:rPr>
        <w:t> </w:t>
      </w:r>
      <w:r>
        <w:rPr>
          <w:rFonts w:ascii="宋体" w:hAnsi="宋体" w:cs="宋体"/>
          <w:kern w:val="0"/>
          <w:sz w:val="24"/>
        </w:rPr>
        <w:t xml:space="preserve">。 </w:t>
      </w:r>
    </w:p>
    <w:p>
      <w:pPr>
        <w:pStyle w:val="10"/>
        <w:numPr>
          <w:ilvl w:val="0"/>
          <w:numId w:val="0"/>
        </w:numPr>
        <w:spacing w:before="0" w:after="0" w:line="360" w:lineRule="auto"/>
        <w:rPr>
          <w:b w:val="0"/>
          <w:szCs w:val="24"/>
        </w:rPr>
      </w:pPr>
      <w:r>
        <w:rPr>
          <w:b w:val="0"/>
          <w:szCs w:val="24"/>
        </w:rPr>
        <w:t>2.2 合同文件组成及解释顺序</w:t>
      </w:r>
      <w:bookmarkEnd w:id="27"/>
      <w:bookmarkEnd w:id="28"/>
      <w:bookmarkEnd w:id="29"/>
    </w:p>
    <w:p>
      <w:pPr>
        <w:pStyle w:val="11"/>
        <w:spacing w:after="0"/>
        <w:ind w:left="837" w:leftChars="113" w:hanging="600" w:hangingChars="250"/>
      </w:pPr>
      <w:r>
        <w:t>2.2.1合同文件组成及解释顺序如下：</w:t>
      </w:r>
    </w:p>
    <w:p>
      <w:pPr>
        <w:pStyle w:val="11"/>
        <w:spacing w:after="0"/>
        <w:ind w:left="837" w:leftChars="113" w:hanging="600" w:hangingChars="250"/>
      </w:pPr>
      <w:r>
        <w:t>详见《合同协议书》第8条</w:t>
      </w:r>
      <w:r>
        <w:rPr>
          <w:rFonts w:hint="eastAsia"/>
        </w:rPr>
        <w:t>。</w:t>
      </w:r>
    </w:p>
    <w:p>
      <w:pPr>
        <w:spacing w:line="360" w:lineRule="auto"/>
        <w:ind w:firstLine="240" w:firstLineChars="100"/>
        <w:rPr>
          <w:rFonts w:hint="eastAsia"/>
          <w:sz w:val="24"/>
        </w:rPr>
      </w:pPr>
      <w:r>
        <w:rPr>
          <w:sz w:val="24"/>
        </w:rPr>
        <w:t>对于同一类合同文件，以其最新版本或最新颁发者为准。若施工过程中双方有关工程的洽商、签证、变更等书面记录、文件或协议与上述合同文件中相关条款冲突时，可以将其理解为针对合同文件的补充约定，并视为合同文件的组成部分，具有解释优先权。</w:t>
      </w:r>
    </w:p>
    <w:p>
      <w:pPr>
        <w:pStyle w:val="10"/>
        <w:numPr>
          <w:ilvl w:val="0"/>
          <w:numId w:val="0"/>
        </w:numPr>
        <w:spacing w:before="0" w:after="0" w:line="360" w:lineRule="auto"/>
        <w:rPr>
          <w:b w:val="0"/>
          <w:szCs w:val="24"/>
        </w:rPr>
      </w:pPr>
      <w:bookmarkStart w:id="30" w:name="_Toc89406017"/>
      <w:bookmarkStart w:id="31" w:name="_Toc168739618"/>
      <w:bookmarkStart w:id="32" w:name="_Toc78944661"/>
      <w:bookmarkStart w:id="33" w:name="_Toc122080347"/>
      <w:bookmarkStart w:id="34" w:name="_Toc465441634"/>
      <w:r>
        <w:rPr>
          <w:b w:val="0"/>
          <w:szCs w:val="24"/>
        </w:rPr>
        <w:t>2.3 语言文字和适用法律、法规</w:t>
      </w:r>
      <w:bookmarkEnd w:id="30"/>
      <w:bookmarkEnd w:id="31"/>
      <w:bookmarkEnd w:id="32"/>
      <w:bookmarkEnd w:id="33"/>
      <w:bookmarkEnd w:id="34"/>
    </w:p>
    <w:p>
      <w:pPr>
        <w:pStyle w:val="11"/>
        <w:spacing w:after="0"/>
        <w:ind w:left="837" w:leftChars="113" w:hanging="600" w:hangingChars="250"/>
      </w:pPr>
      <w:r>
        <w:t>2.3.1本合同除使用</w:t>
      </w:r>
      <w:r>
        <w:rPr>
          <w:rFonts w:hint="eastAsia"/>
        </w:rPr>
        <w:t>中文</w:t>
      </w:r>
      <w:r>
        <w:t>汉语外，不使用其他语言文字。</w:t>
      </w:r>
    </w:p>
    <w:p>
      <w:pPr>
        <w:pStyle w:val="11"/>
        <w:spacing w:after="0"/>
        <w:ind w:left="13" w:leftChars="6" w:firstLine="220" w:firstLineChars="92"/>
      </w:pPr>
      <w:r>
        <w:t>2.3.2需要明示的法律、法规、规章：</w:t>
      </w:r>
      <w:r>
        <w:rPr>
          <w:rFonts w:hint="eastAsia"/>
        </w:rPr>
        <w:t>包括不限于</w:t>
      </w:r>
      <w:r>
        <w:t>《中华人民共和国合同法》、《中华人民共和国建筑法》、</w:t>
      </w:r>
      <w:bookmarkStart w:id="35" w:name="_Hlt45963381"/>
      <w:bookmarkStart w:id="36" w:name="_Hlt45963380"/>
      <w:r>
        <w:t>《中华人民共和国环境噪声污染防治</w:t>
      </w:r>
      <w:bookmarkStart w:id="37" w:name="_Hlt135042877"/>
      <w:bookmarkStart w:id="38" w:name="_Hlt135042876"/>
      <w:r>
        <w:t>法</w:t>
      </w:r>
      <w:bookmarkEnd w:id="35"/>
      <w:bookmarkEnd w:id="36"/>
      <w:bookmarkEnd w:id="37"/>
      <w:bookmarkEnd w:id="38"/>
      <w:r>
        <w:t>》、《建设工程质量管理条例》、《建设工程安全管理条例》及</w:t>
      </w:r>
      <w:r>
        <w:rPr>
          <w:u w:val="single"/>
        </w:rPr>
        <w:t xml:space="preserve"> </w:t>
      </w:r>
      <w:r>
        <w:rPr>
          <w:rFonts w:hint="eastAsia"/>
          <w:u w:val="single"/>
        </w:rPr>
        <w:t xml:space="preserve"> </w:t>
      </w:r>
      <w:r>
        <w:rPr>
          <w:rFonts w:hint="eastAsia"/>
          <w:u w:val="single"/>
          <w:lang w:val="en-US" w:eastAsia="zh-CN"/>
        </w:rPr>
        <w:t>重庆</w:t>
      </w:r>
      <w:r>
        <w:t xml:space="preserve"> 市现行的与本工程相关的法律、法规、规章</w:t>
      </w:r>
      <w:r>
        <w:rPr>
          <w:rFonts w:hint="eastAsia"/>
        </w:rPr>
        <w:t>，如遇国家、省市及地区法律法规冲突时，从严执行</w:t>
      </w:r>
      <w:r>
        <w:t>。</w:t>
      </w:r>
    </w:p>
    <w:p>
      <w:pPr>
        <w:pStyle w:val="10"/>
        <w:numPr>
          <w:ilvl w:val="0"/>
          <w:numId w:val="0"/>
        </w:numPr>
        <w:spacing w:before="0" w:after="0" w:line="360" w:lineRule="auto"/>
        <w:rPr>
          <w:b w:val="0"/>
          <w:szCs w:val="24"/>
        </w:rPr>
      </w:pPr>
      <w:bookmarkStart w:id="39" w:name="_Toc89406018"/>
      <w:bookmarkStart w:id="40" w:name="_Toc168739619"/>
      <w:bookmarkStart w:id="41" w:name="_Toc122080348"/>
      <w:bookmarkStart w:id="42" w:name="_Toc78944662"/>
      <w:bookmarkStart w:id="43" w:name="_Toc465441635"/>
      <w:r>
        <w:rPr>
          <w:b w:val="0"/>
          <w:szCs w:val="24"/>
        </w:rPr>
        <w:t>2.4 图纸</w:t>
      </w:r>
      <w:bookmarkEnd w:id="39"/>
      <w:bookmarkEnd w:id="40"/>
      <w:bookmarkEnd w:id="41"/>
      <w:bookmarkEnd w:id="42"/>
      <w:bookmarkEnd w:id="43"/>
    </w:p>
    <w:p>
      <w:pPr>
        <w:pStyle w:val="11"/>
        <w:spacing w:after="0"/>
        <w:ind w:left="-2" w:leftChars="-1" w:firstLine="282"/>
      </w:pPr>
      <w:r>
        <w:t>2.4.1 发包人向承包人提供图纸套数：</w:t>
      </w:r>
      <w:r>
        <w:rPr>
          <w:rFonts w:hint="eastAsia"/>
          <w:color w:val="FF0000"/>
          <w:u w:val="single"/>
        </w:rPr>
        <w:t xml:space="preserve"> </w:t>
      </w:r>
      <w:r>
        <w:rPr>
          <w:rFonts w:hint="eastAsia"/>
          <w:color w:val="FF0000"/>
          <w:u w:val="single"/>
          <w:lang w:val="en-US" w:eastAsia="zh-CN"/>
        </w:rPr>
        <w:t>8</w:t>
      </w:r>
      <w:r>
        <w:rPr>
          <w:rFonts w:hint="eastAsia"/>
          <w:color w:val="FF0000"/>
          <w:u w:val="single"/>
        </w:rPr>
        <w:t xml:space="preserve">  </w:t>
      </w:r>
      <w:r>
        <w:t>套图纸及电子</w:t>
      </w:r>
      <w:r>
        <w:rPr>
          <w:rFonts w:hint="eastAsia"/>
        </w:rPr>
        <w:t xml:space="preserve">文件（如有）（含制作竣工图所用图纸 </w:t>
      </w:r>
      <w:r>
        <w:rPr>
          <w:rFonts w:hint="eastAsia"/>
          <w:color w:val="FF0000"/>
          <w:u w:val="single"/>
        </w:rPr>
        <w:t xml:space="preserve"> </w:t>
      </w:r>
      <w:r>
        <w:rPr>
          <w:rFonts w:hint="eastAsia"/>
          <w:color w:val="FF0000"/>
          <w:u w:val="single"/>
          <w:lang w:val="en-US" w:eastAsia="zh-CN"/>
        </w:rPr>
        <w:t>3</w:t>
      </w:r>
      <w:r>
        <w:rPr>
          <w:rFonts w:hint="eastAsia"/>
          <w:color w:val="FF0000"/>
          <w:u w:val="single"/>
        </w:rPr>
        <w:t xml:space="preserve"> </w:t>
      </w:r>
      <w:r>
        <w:rPr>
          <w:rFonts w:hint="eastAsia"/>
        </w:rPr>
        <w:t xml:space="preserve"> 套）。</w:t>
      </w:r>
      <w:r>
        <w:t xml:space="preserve">                                               </w:t>
      </w:r>
    </w:p>
    <w:p>
      <w:pPr>
        <w:pStyle w:val="11"/>
        <w:spacing w:after="0"/>
        <w:ind w:left="13" w:leftChars="6" w:firstLine="220" w:firstLineChars="92"/>
      </w:pPr>
      <w:r>
        <w:t>2.4.2 发包人对工程的保密要求和保密期限：</w:t>
      </w:r>
      <w:r>
        <w:rPr>
          <w:rFonts w:hint="eastAsia"/>
        </w:rPr>
        <w:t>承包人</w:t>
      </w:r>
      <w:r>
        <w:rPr>
          <w:rFonts w:hint="eastAsia"/>
          <w:u w:val="single"/>
        </w:rPr>
        <w:t>不得私自对外透露有关本工程的图纸和技术资料的内容，保密期限为无限期保密。</w:t>
      </w:r>
    </w:p>
    <w:p>
      <w:pPr>
        <w:pStyle w:val="11"/>
        <w:spacing w:after="0"/>
        <w:ind w:left="837" w:leftChars="113" w:hanging="600" w:hangingChars="250"/>
      </w:pPr>
      <w:r>
        <w:t>2.4.3 发包人向承包人提供图纸日期：</w:t>
      </w:r>
      <w:r>
        <w:rPr>
          <w:rFonts w:hint="eastAsia"/>
          <w:u w:val="single"/>
        </w:rPr>
        <w:t>按照图纸供应计划的时间提供图纸。</w:t>
      </w:r>
      <w:r>
        <w:t>。</w:t>
      </w:r>
    </w:p>
    <w:p>
      <w:pPr>
        <w:pStyle w:val="10"/>
        <w:numPr>
          <w:ilvl w:val="0"/>
          <w:numId w:val="0"/>
        </w:numPr>
        <w:spacing w:before="0" w:after="0" w:line="360" w:lineRule="auto"/>
        <w:rPr>
          <w:b w:val="0"/>
          <w:szCs w:val="24"/>
        </w:rPr>
      </w:pPr>
      <w:bookmarkStart w:id="44" w:name="_Toc89406020"/>
      <w:bookmarkStart w:id="45" w:name="_Toc78944664"/>
      <w:bookmarkStart w:id="46" w:name="_Toc122080350"/>
      <w:bookmarkStart w:id="47" w:name="_Toc168739621"/>
      <w:bookmarkStart w:id="48" w:name="_Toc465441636"/>
      <w:r>
        <w:rPr>
          <w:b w:val="0"/>
          <w:szCs w:val="24"/>
        </w:rPr>
        <w:t>2.6 工</w:t>
      </w:r>
      <w:bookmarkEnd w:id="44"/>
      <w:bookmarkEnd w:id="45"/>
      <w:r>
        <w:rPr>
          <w:b w:val="0"/>
          <w:szCs w:val="24"/>
        </w:rPr>
        <w:t>程</w:t>
      </w:r>
      <w:bookmarkEnd w:id="46"/>
      <w:r>
        <w:rPr>
          <w:b w:val="0"/>
          <w:szCs w:val="24"/>
        </w:rPr>
        <w:t>指令</w:t>
      </w:r>
      <w:bookmarkEnd w:id="47"/>
      <w:bookmarkEnd w:id="48"/>
    </w:p>
    <w:p>
      <w:pPr>
        <w:tabs>
          <w:tab w:val="left" w:pos="2145"/>
        </w:tabs>
        <w:spacing w:line="360" w:lineRule="auto"/>
        <w:ind w:firstLine="360" w:firstLineChars="150"/>
        <w:rPr>
          <w:sz w:val="24"/>
        </w:rPr>
      </w:pPr>
      <w:r>
        <w:rPr>
          <w:sz w:val="24"/>
        </w:rPr>
        <w:t>2.6.1 发包人代表的指令、通知由其本人签字后，以书面形式交给</w:t>
      </w:r>
      <w:r>
        <w:rPr>
          <w:rFonts w:hint="eastAsia"/>
          <w:sz w:val="24"/>
        </w:rPr>
        <w:t>承包人</w:t>
      </w:r>
      <w:r>
        <w:rPr>
          <w:sz w:val="24"/>
        </w:rPr>
        <w:t>代表，</w:t>
      </w:r>
      <w:r>
        <w:rPr>
          <w:rFonts w:hint="eastAsia"/>
          <w:sz w:val="24"/>
        </w:rPr>
        <w:t>承包人</w:t>
      </w:r>
      <w:r>
        <w:rPr>
          <w:sz w:val="24"/>
        </w:rPr>
        <w:t>项目经理或其指定收文人在收发台帐上签署姓名和时间后生效，</w:t>
      </w:r>
      <w:r>
        <w:rPr>
          <w:rFonts w:hint="eastAsia"/>
          <w:sz w:val="24"/>
        </w:rPr>
        <w:t>承包人</w:t>
      </w:r>
      <w:r>
        <w:rPr>
          <w:sz w:val="24"/>
        </w:rPr>
        <w:t>不得借故拒收发包人的任何文件，否则承包人承担由此引起的责任，并向发包人支付违约金1000元/次。</w:t>
      </w:r>
    </w:p>
    <w:p>
      <w:pPr>
        <w:tabs>
          <w:tab w:val="left" w:pos="2145"/>
        </w:tabs>
        <w:spacing w:line="360" w:lineRule="auto"/>
        <w:ind w:firstLine="360" w:firstLineChars="150"/>
        <w:rPr>
          <w:sz w:val="24"/>
        </w:rPr>
      </w:pPr>
      <w:r>
        <w:rPr>
          <w:sz w:val="24"/>
        </w:rPr>
        <w:t>2.6.2在紧急情况下，发包人代表要求承包人立即执行指令或承包人虽有异议，但发包人代表仍决定执行的指令，承包人应予执行。</w:t>
      </w:r>
    </w:p>
    <w:p>
      <w:pPr>
        <w:spacing w:line="360" w:lineRule="auto"/>
        <w:ind w:firstLine="360" w:firstLineChars="150"/>
        <w:rPr>
          <w:sz w:val="24"/>
        </w:rPr>
      </w:pPr>
      <w:r>
        <w:rPr>
          <w:sz w:val="24"/>
        </w:rPr>
        <w:t>2.6.3发包人代表按合同约定及时向承包人提供所需指令、批文、图纸并履行其它约定的义务。</w:t>
      </w:r>
    </w:p>
    <w:p>
      <w:pPr>
        <w:pStyle w:val="2"/>
        <w:spacing w:before="0" w:after="0" w:line="360" w:lineRule="auto"/>
        <w:rPr>
          <w:sz w:val="24"/>
          <w:szCs w:val="24"/>
        </w:rPr>
      </w:pPr>
      <w:bookmarkStart w:id="49" w:name="_Toc122080351"/>
      <w:bookmarkStart w:id="50" w:name="_Toc78944665"/>
      <w:bookmarkStart w:id="51" w:name="_Toc89406021"/>
      <w:bookmarkStart w:id="52" w:name="_Toc168739622"/>
      <w:bookmarkStart w:id="53" w:name="_Toc471834412"/>
      <w:bookmarkStart w:id="54" w:name="_Toc78944675"/>
      <w:bookmarkStart w:id="55" w:name="_Toc89406031"/>
      <w:bookmarkStart w:id="56" w:name="_Toc168739625"/>
      <w:bookmarkStart w:id="57" w:name="_Toc465441640"/>
      <w:bookmarkStart w:id="58" w:name="_Toc122080354"/>
      <w:r>
        <w:rPr>
          <w:b/>
          <w:sz w:val="24"/>
          <w:szCs w:val="24"/>
        </w:rPr>
        <w:t>3、发包人（甲方</w:t>
      </w:r>
      <w:r>
        <w:rPr>
          <w:sz w:val="24"/>
          <w:szCs w:val="24"/>
        </w:rPr>
        <w:t>）</w:t>
      </w:r>
      <w:bookmarkEnd w:id="49"/>
      <w:bookmarkEnd w:id="50"/>
      <w:bookmarkEnd w:id="51"/>
      <w:bookmarkEnd w:id="52"/>
      <w:bookmarkEnd w:id="53"/>
    </w:p>
    <w:p>
      <w:pPr>
        <w:pStyle w:val="10"/>
        <w:numPr>
          <w:ilvl w:val="0"/>
          <w:numId w:val="0"/>
        </w:numPr>
        <w:spacing w:before="0" w:after="0" w:line="360" w:lineRule="auto"/>
        <w:rPr>
          <w:b w:val="0"/>
          <w:szCs w:val="24"/>
        </w:rPr>
      </w:pPr>
      <w:bookmarkStart w:id="59" w:name="_Toc122080352"/>
      <w:bookmarkStart w:id="60" w:name="_Toc78944666"/>
      <w:bookmarkStart w:id="61" w:name="_Toc89406022"/>
      <w:bookmarkStart w:id="62" w:name="_Toc471834413"/>
      <w:bookmarkStart w:id="63" w:name="_Toc168739623"/>
      <w:r>
        <w:rPr>
          <w:b w:val="0"/>
          <w:szCs w:val="24"/>
        </w:rPr>
        <w:t>3.1 发包人代表及现场人员</w:t>
      </w:r>
      <w:bookmarkEnd w:id="59"/>
      <w:bookmarkEnd w:id="60"/>
      <w:bookmarkEnd w:id="61"/>
      <w:bookmarkEnd w:id="62"/>
      <w:bookmarkEnd w:id="63"/>
    </w:p>
    <w:p>
      <w:pPr>
        <w:spacing w:line="360" w:lineRule="auto"/>
        <w:ind w:firstLine="360" w:firstLineChars="150"/>
        <w:rPr>
          <w:sz w:val="24"/>
        </w:rPr>
      </w:pPr>
      <w:r>
        <w:rPr>
          <w:sz w:val="24"/>
        </w:rPr>
        <w:t>3.1.1 发包人代表的姓名：</w:t>
      </w:r>
      <w:r>
        <w:rPr>
          <w:rFonts w:hint="eastAsia"/>
          <w:sz w:val="24"/>
          <w:u w:val="single"/>
          <w:lang w:val="en-US" w:eastAsia="zh-CN"/>
        </w:rPr>
        <w:t xml:space="preserve">              </w:t>
      </w:r>
      <w:r>
        <w:rPr>
          <w:sz w:val="24"/>
          <w:u w:val="single"/>
        </w:rPr>
        <w:t xml:space="preserve"> </w:t>
      </w:r>
      <w:r>
        <w:rPr>
          <w:sz w:val="24"/>
        </w:rPr>
        <w:t xml:space="preserve"> </w:t>
      </w:r>
      <w:bookmarkStart w:id="64" w:name="OLE_LINK1"/>
      <w:r>
        <w:rPr>
          <w:sz w:val="24"/>
        </w:rPr>
        <w:t>，联系电话：</w:t>
      </w:r>
      <w:r>
        <w:rPr>
          <w:rFonts w:hint="eastAsia"/>
          <w:sz w:val="24"/>
          <w:u w:val="single"/>
          <w:lang w:val="en-US" w:eastAsia="zh-CN"/>
        </w:rPr>
        <w:t xml:space="preserve">           </w:t>
      </w:r>
      <w:r>
        <w:rPr>
          <w:sz w:val="24"/>
          <w:u w:val="single"/>
        </w:rPr>
        <w:t xml:space="preserve">  </w:t>
      </w:r>
      <w:r>
        <w:rPr>
          <w:sz w:val="24"/>
        </w:rPr>
        <w:t>。</w:t>
      </w:r>
      <w:bookmarkEnd w:id="64"/>
    </w:p>
    <w:p>
      <w:pPr>
        <w:pStyle w:val="10"/>
        <w:keepNext w:val="0"/>
        <w:keepLines w:val="0"/>
        <w:numPr>
          <w:ilvl w:val="0"/>
          <w:numId w:val="0"/>
        </w:numPr>
        <w:spacing w:before="0" w:after="0" w:line="360" w:lineRule="auto"/>
        <w:rPr>
          <w:b w:val="0"/>
          <w:szCs w:val="24"/>
        </w:rPr>
      </w:pPr>
      <w:bookmarkStart w:id="65" w:name="_Toc78944668"/>
      <w:bookmarkStart w:id="66" w:name="_Toc89406024"/>
      <w:bookmarkStart w:id="67" w:name="_Toc168739624"/>
      <w:bookmarkStart w:id="68" w:name="_Toc471834414"/>
      <w:bookmarkStart w:id="69" w:name="_Toc122080353"/>
      <w:r>
        <w:rPr>
          <w:b w:val="0"/>
          <w:szCs w:val="24"/>
        </w:rPr>
        <w:t>3.2 发包人</w:t>
      </w:r>
      <w:bookmarkEnd w:id="65"/>
      <w:bookmarkEnd w:id="66"/>
      <w:r>
        <w:rPr>
          <w:b w:val="0"/>
          <w:szCs w:val="24"/>
        </w:rPr>
        <w:t>工作</w:t>
      </w:r>
      <w:bookmarkEnd w:id="67"/>
      <w:bookmarkEnd w:id="68"/>
      <w:bookmarkEnd w:id="69"/>
    </w:p>
    <w:p>
      <w:pPr>
        <w:pStyle w:val="2"/>
        <w:keepNext w:val="0"/>
        <w:keepLines w:val="0"/>
        <w:tabs>
          <w:tab w:val="left" w:pos="1080"/>
        </w:tabs>
        <w:spacing w:line="360" w:lineRule="auto"/>
        <w:rPr>
          <w:rFonts w:hint="eastAsia" w:eastAsia="宋体"/>
          <w:bCs w:val="0"/>
          <w:kern w:val="2"/>
          <w:sz w:val="24"/>
          <w:szCs w:val="24"/>
        </w:rPr>
      </w:pPr>
      <w:r>
        <w:rPr>
          <w:rFonts w:hint="eastAsia" w:eastAsia="宋体"/>
          <w:bCs w:val="0"/>
          <w:kern w:val="2"/>
          <w:sz w:val="24"/>
          <w:szCs w:val="24"/>
        </w:rPr>
        <w:t>3.2.1发包人提供的技术、经济资料：工程施工图，明确开挖边界及控制点的高程和坐标等。</w:t>
      </w:r>
    </w:p>
    <w:p>
      <w:pPr>
        <w:pStyle w:val="2"/>
        <w:keepNext w:val="0"/>
        <w:keepLines w:val="0"/>
        <w:tabs>
          <w:tab w:val="left" w:pos="1080"/>
        </w:tabs>
        <w:spacing w:before="0" w:after="0" w:line="360" w:lineRule="auto"/>
        <w:rPr>
          <w:rFonts w:hint="eastAsia" w:eastAsia="宋体"/>
          <w:bCs w:val="0"/>
          <w:kern w:val="2"/>
          <w:sz w:val="24"/>
          <w:szCs w:val="24"/>
        </w:rPr>
      </w:pPr>
      <w:r>
        <w:rPr>
          <w:rFonts w:hint="eastAsia" w:eastAsia="宋体"/>
          <w:bCs w:val="0"/>
          <w:kern w:val="2"/>
          <w:sz w:val="24"/>
          <w:szCs w:val="24"/>
        </w:rPr>
        <w:t>3.2.2发包人应做的其他工作：审核并确认承包人施工方案，提出技术要求，组织技术交底等；开挖过程中的质量、进度监督等；按合同约定支付承包人工程款  。</w:t>
      </w:r>
    </w:p>
    <w:p>
      <w:pPr>
        <w:pStyle w:val="2"/>
        <w:keepNext w:val="0"/>
        <w:keepLines w:val="0"/>
        <w:tabs>
          <w:tab w:val="left" w:pos="1080"/>
        </w:tabs>
        <w:spacing w:before="0" w:after="0" w:line="360" w:lineRule="auto"/>
        <w:rPr>
          <w:b/>
          <w:sz w:val="24"/>
          <w:szCs w:val="24"/>
        </w:rPr>
      </w:pPr>
      <w:r>
        <w:rPr>
          <w:b/>
          <w:sz w:val="24"/>
          <w:szCs w:val="24"/>
        </w:rPr>
        <w:t>4、监理</w:t>
      </w:r>
      <w:bookmarkEnd w:id="54"/>
      <w:bookmarkEnd w:id="55"/>
      <w:r>
        <w:rPr>
          <w:b/>
          <w:sz w:val="24"/>
          <w:szCs w:val="24"/>
        </w:rPr>
        <w:t>方</w:t>
      </w:r>
      <w:bookmarkEnd w:id="56"/>
      <w:bookmarkEnd w:id="57"/>
      <w:bookmarkEnd w:id="58"/>
    </w:p>
    <w:p>
      <w:pPr>
        <w:pStyle w:val="10"/>
        <w:keepNext w:val="0"/>
        <w:keepLines w:val="0"/>
        <w:numPr>
          <w:ilvl w:val="0"/>
          <w:numId w:val="0"/>
        </w:numPr>
        <w:spacing w:before="0" w:after="0" w:line="360" w:lineRule="auto"/>
        <w:rPr>
          <w:rFonts w:hint="eastAsia"/>
          <w:b w:val="0"/>
          <w:szCs w:val="24"/>
        </w:rPr>
      </w:pPr>
      <w:bookmarkStart w:id="70" w:name="_Toc122080355"/>
      <w:bookmarkStart w:id="71" w:name="_Toc465441641"/>
      <w:bookmarkStart w:id="72" w:name="_Toc89406032"/>
      <w:bookmarkStart w:id="73" w:name="_Toc78944676"/>
      <w:bookmarkStart w:id="74" w:name="_Toc168739626"/>
      <w:r>
        <w:rPr>
          <w:b w:val="0"/>
          <w:szCs w:val="24"/>
        </w:rPr>
        <w:t>4.1 监理工程师</w:t>
      </w:r>
      <w:bookmarkEnd w:id="70"/>
      <w:bookmarkEnd w:id="71"/>
      <w:bookmarkEnd w:id="72"/>
      <w:bookmarkEnd w:id="73"/>
      <w:bookmarkEnd w:id="74"/>
    </w:p>
    <w:p>
      <w:pPr>
        <w:spacing w:line="360" w:lineRule="auto"/>
        <w:ind w:firstLine="360" w:firstLineChars="150"/>
        <w:rPr>
          <w:sz w:val="24"/>
          <w:u w:val="single"/>
        </w:rPr>
      </w:pPr>
      <w:bookmarkStart w:id="75" w:name="_Toc78944678"/>
      <w:bookmarkStart w:id="76" w:name="_Toc89406034"/>
      <w:bookmarkStart w:id="77" w:name="_Toc168739627"/>
      <w:bookmarkStart w:id="78" w:name="_Toc122080356"/>
      <w:r>
        <w:rPr>
          <w:sz w:val="24"/>
        </w:rPr>
        <w:t>4.1.1发包人委托的工程监理公司为：</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p>
    <w:p>
      <w:pPr>
        <w:spacing w:line="360" w:lineRule="auto"/>
        <w:ind w:firstLine="388" w:firstLineChars="162"/>
        <w:rPr>
          <w:sz w:val="24"/>
        </w:rPr>
      </w:pPr>
      <w:r>
        <w:rPr>
          <w:sz w:val="24"/>
        </w:rPr>
        <w:t>发包人指定总监姓名：</w:t>
      </w:r>
      <w:r>
        <w:rPr>
          <w:rFonts w:hint="eastAsia"/>
          <w:sz w:val="24"/>
          <w:u w:val="single"/>
          <w:lang w:val="en-US" w:eastAsia="zh-CN"/>
        </w:rPr>
        <w:t xml:space="preserve">      </w:t>
      </w:r>
      <w:r>
        <w:rPr>
          <w:sz w:val="24"/>
          <w:u w:val="single"/>
        </w:rPr>
        <w:t xml:space="preserve">  </w:t>
      </w:r>
      <w:r>
        <w:rPr>
          <w:sz w:val="24"/>
        </w:rPr>
        <w:t>，联系电话：</w:t>
      </w:r>
      <w:r>
        <w:rPr>
          <w:sz w:val="24"/>
          <w:u w:val="single"/>
        </w:rPr>
        <w:t xml:space="preserve"> </w:t>
      </w:r>
      <w:r>
        <w:rPr>
          <w:rFonts w:hint="eastAsia"/>
          <w:sz w:val="24"/>
          <w:u w:val="single"/>
          <w:lang w:val="en-US" w:eastAsia="zh-CN"/>
        </w:rPr>
        <w:t xml:space="preserve">                </w:t>
      </w:r>
      <w:r>
        <w:rPr>
          <w:sz w:val="24"/>
          <w:u w:val="single"/>
        </w:rPr>
        <w:t xml:space="preserve"> </w:t>
      </w:r>
      <w:r>
        <w:rPr>
          <w:sz w:val="24"/>
        </w:rPr>
        <w:t>。</w:t>
      </w:r>
    </w:p>
    <w:p>
      <w:pPr>
        <w:pStyle w:val="10"/>
        <w:numPr>
          <w:ilvl w:val="0"/>
          <w:numId w:val="0"/>
        </w:numPr>
        <w:spacing w:before="0" w:after="0" w:line="360" w:lineRule="auto"/>
        <w:rPr>
          <w:b w:val="0"/>
          <w:szCs w:val="24"/>
        </w:rPr>
      </w:pPr>
      <w:bookmarkStart w:id="79" w:name="_Toc465441642"/>
      <w:r>
        <w:rPr>
          <w:b w:val="0"/>
          <w:szCs w:val="24"/>
        </w:rPr>
        <w:t>4.2 监理工程师</w:t>
      </w:r>
      <w:bookmarkEnd w:id="75"/>
      <w:bookmarkEnd w:id="76"/>
      <w:r>
        <w:rPr>
          <w:b w:val="0"/>
          <w:szCs w:val="24"/>
        </w:rPr>
        <w:t>工作</w:t>
      </w:r>
      <w:bookmarkEnd w:id="77"/>
      <w:bookmarkEnd w:id="78"/>
      <w:bookmarkEnd w:id="79"/>
    </w:p>
    <w:p>
      <w:pPr>
        <w:tabs>
          <w:tab w:val="left" w:pos="2145"/>
        </w:tabs>
        <w:spacing w:line="360" w:lineRule="auto"/>
        <w:ind w:firstLine="360" w:firstLineChars="150"/>
        <w:rPr>
          <w:sz w:val="24"/>
        </w:rPr>
      </w:pPr>
      <w:r>
        <w:rPr>
          <w:rFonts w:hint="eastAsia"/>
          <w:sz w:val="24"/>
        </w:rPr>
        <w:t>4.2.1</w:t>
      </w:r>
      <w:r>
        <w:rPr>
          <w:sz w:val="24"/>
        </w:rPr>
        <w:t>发包人授予监理职权范围内指令承包人必须执行。承包人应接受监理对本工程质量监督、进度控制、设计变更和现场签证的审核、工程进度款的</w:t>
      </w:r>
      <w:r>
        <w:rPr>
          <w:rFonts w:hint="eastAsia"/>
          <w:sz w:val="24"/>
        </w:rPr>
        <w:t>初审</w:t>
      </w:r>
      <w:r>
        <w:rPr>
          <w:sz w:val="24"/>
        </w:rPr>
        <w:t>、工程例会的组织及其他监理工作，参加监理组织的协调会，服从监理工程的指示和管理。如有违约行为，按本</w:t>
      </w:r>
      <w:r>
        <w:rPr>
          <w:rFonts w:hint="eastAsia"/>
          <w:sz w:val="24"/>
        </w:rPr>
        <w:t>合同</w:t>
      </w:r>
      <w:r>
        <w:rPr>
          <w:sz w:val="24"/>
        </w:rPr>
        <w:t>进行处罚。</w:t>
      </w:r>
    </w:p>
    <w:p>
      <w:pPr>
        <w:tabs>
          <w:tab w:val="left" w:pos="2145"/>
        </w:tabs>
        <w:spacing w:line="360" w:lineRule="auto"/>
        <w:ind w:firstLine="360" w:firstLineChars="150"/>
        <w:rPr>
          <w:sz w:val="24"/>
        </w:rPr>
      </w:pPr>
      <w:r>
        <w:rPr>
          <w:rFonts w:hint="eastAsia"/>
          <w:sz w:val="24"/>
        </w:rPr>
        <w:t>4.2.2</w:t>
      </w:r>
      <w:r>
        <w:rPr>
          <w:sz w:val="24"/>
        </w:rPr>
        <w:t>承包人必须在</w:t>
      </w:r>
      <w:r>
        <w:rPr>
          <w:rFonts w:hint="eastAsia"/>
          <w:sz w:val="24"/>
        </w:rPr>
        <w:t>规范</w:t>
      </w:r>
      <w:r>
        <w:rPr>
          <w:sz w:val="24"/>
        </w:rPr>
        <w:t>要求的时间内完整地完成规范要求各类工程报验，含材料、检验批、施工方案等，如逾期不报（含申报资料不全）。监理有权在规范要求时间截止后24小时内提出给予承包人500-2000元/项处罚，并要求承包人在规定时间内完成补报，补报逾期加倍处罚，并依次类推。此罚款</w:t>
      </w:r>
      <w:r>
        <w:rPr>
          <w:rFonts w:hint="eastAsia"/>
          <w:sz w:val="24"/>
        </w:rPr>
        <w:t>通知经</w:t>
      </w:r>
      <w:r>
        <w:rPr>
          <w:sz w:val="24"/>
        </w:rPr>
        <w:t>发包人签字认可后生效。</w:t>
      </w:r>
    </w:p>
    <w:p>
      <w:pPr>
        <w:pStyle w:val="2"/>
        <w:spacing w:before="0" w:after="0" w:line="360" w:lineRule="auto"/>
        <w:rPr>
          <w:b/>
          <w:sz w:val="24"/>
          <w:szCs w:val="24"/>
        </w:rPr>
      </w:pPr>
      <w:bookmarkStart w:id="80" w:name="_Toc78944670"/>
      <w:bookmarkStart w:id="81" w:name="_Toc465441643"/>
      <w:bookmarkStart w:id="82" w:name="_Toc168739628"/>
      <w:bookmarkStart w:id="83" w:name="_Toc89406026"/>
      <w:bookmarkStart w:id="84" w:name="_Toc122080357"/>
      <w:r>
        <w:rPr>
          <w:b/>
          <w:sz w:val="24"/>
          <w:szCs w:val="24"/>
        </w:rPr>
        <w:t>5、承包人（乙方）</w:t>
      </w:r>
      <w:bookmarkEnd w:id="80"/>
      <w:bookmarkEnd w:id="81"/>
      <w:bookmarkEnd w:id="82"/>
      <w:bookmarkEnd w:id="83"/>
      <w:bookmarkEnd w:id="84"/>
    </w:p>
    <w:p>
      <w:pPr>
        <w:pStyle w:val="10"/>
        <w:numPr>
          <w:ilvl w:val="0"/>
          <w:numId w:val="0"/>
        </w:numPr>
        <w:spacing w:before="0" w:after="0" w:line="360" w:lineRule="auto"/>
        <w:rPr>
          <w:b w:val="0"/>
          <w:szCs w:val="24"/>
        </w:rPr>
      </w:pPr>
      <w:bookmarkStart w:id="85" w:name="_Toc78944671"/>
      <w:bookmarkStart w:id="86" w:name="_Toc122080358"/>
      <w:bookmarkStart w:id="87" w:name="_Toc168739629"/>
      <w:bookmarkStart w:id="88" w:name="_Toc89406027"/>
      <w:bookmarkStart w:id="89" w:name="_Toc465441644"/>
      <w:r>
        <w:rPr>
          <w:b w:val="0"/>
          <w:szCs w:val="24"/>
        </w:rPr>
        <w:t>5.1 承包人代表及现场人员</w:t>
      </w:r>
      <w:bookmarkEnd w:id="85"/>
      <w:bookmarkEnd w:id="86"/>
      <w:bookmarkEnd w:id="87"/>
      <w:bookmarkEnd w:id="88"/>
      <w:bookmarkEnd w:id="89"/>
    </w:p>
    <w:p>
      <w:pPr>
        <w:pStyle w:val="11"/>
        <w:spacing w:after="0"/>
        <w:ind w:left="29" w:leftChars="14" w:firstLine="280" w:firstLineChars="117"/>
        <w:rPr>
          <w:rFonts w:hint="eastAsia"/>
        </w:rPr>
      </w:pPr>
      <w:r>
        <w:t>5.1.1承包人代表（项目经理）姓名：</w:t>
      </w:r>
      <w:r>
        <w:rPr>
          <w:u w:val="single"/>
        </w:rPr>
        <w:t xml:space="preserve"> </w:t>
      </w:r>
      <w:r>
        <w:rPr>
          <w:rFonts w:hint="eastAsia"/>
          <w:u w:val="single"/>
          <w:lang w:val="en-US" w:eastAsia="zh-CN"/>
        </w:rPr>
        <w:t xml:space="preserve">    </w:t>
      </w:r>
      <w:r>
        <w:rPr>
          <w:u w:val="single"/>
        </w:rPr>
        <w:t xml:space="preserve">    </w:t>
      </w:r>
      <w:r>
        <w:t>，</w:t>
      </w:r>
      <w:r>
        <w:rPr>
          <w:rFonts w:hint="eastAsia"/>
        </w:rPr>
        <w:t>身份证号码：</w:t>
      </w:r>
      <w:r>
        <w:rPr>
          <w:rFonts w:hint="eastAsia"/>
          <w:u w:val="single"/>
          <w:lang w:val="en-US" w:eastAsia="zh-CN"/>
        </w:rPr>
        <w:t xml:space="preserve">                 </w:t>
      </w:r>
      <w:r>
        <w:rPr>
          <w:rFonts w:hint="eastAsia"/>
        </w:rPr>
        <w:t>。</w:t>
      </w:r>
      <w:r>
        <w:t>联系电话：</w:t>
      </w:r>
      <w:r>
        <w:rPr>
          <w:rFonts w:hint="eastAsia"/>
          <w:u w:val="single"/>
          <w:lang w:val="en-US" w:eastAsia="zh-CN"/>
        </w:rPr>
        <w:t xml:space="preserve">             </w:t>
      </w:r>
      <w:r>
        <w:t xml:space="preserve">。 </w:t>
      </w:r>
    </w:p>
    <w:p>
      <w:pPr>
        <w:pStyle w:val="11"/>
        <w:spacing w:after="0"/>
        <w:ind w:left="-2" w:leftChars="-1" w:firstLine="360" w:firstLineChars="150"/>
        <w:rPr>
          <w:rFonts w:hint="eastAsia"/>
        </w:rPr>
      </w:pPr>
      <w:r>
        <w:rPr>
          <w:rFonts w:hint="eastAsia"/>
        </w:rPr>
        <w:t>5.1.2</w:t>
      </w:r>
      <w:r>
        <w:t>没有得到发包人的事前书面同意，承包人更换承包人代表、项目经理、主要技术负责人，视为承包人违约，承包人为此向发包人支付人民币</w:t>
      </w:r>
      <w:r>
        <w:rPr>
          <w:rFonts w:hint="eastAsia"/>
          <w:u w:val="single"/>
        </w:rPr>
        <w:t xml:space="preserve">  壹拾  </w:t>
      </w:r>
      <w:r>
        <w:t>万元的违约金。</w:t>
      </w:r>
    </w:p>
    <w:p>
      <w:pPr>
        <w:pStyle w:val="11"/>
        <w:spacing w:after="0"/>
        <w:ind w:left="-2" w:leftChars="-1" w:firstLine="360" w:firstLineChars="150"/>
        <w:rPr>
          <w:rFonts w:hint="eastAsia"/>
          <w:u w:val="single"/>
        </w:rPr>
      </w:pPr>
      <w:r>
        <w:rPr>
          <w:rFonts w:hint="eastAsia"/>
        </w:rPr>
        <w:t>5.1.3在</w:t>
      </w:r>
      <w:r>
        <w:t>发包人</w:t>
      </w:r>
      <w:r>
        <w:rPr>
          <w:rFonts w:hint="eastAsia"/>
        </w:rPr>
        <w:t>发出要求更换不合格或不称职人员指令后</w:t>
      </w:r>
      <w:r>
        <w:t>，承包人</w:t>
      </w:r>
      <w:r>
        <w:rPr>
          <w:rFonts w:hint="eastAsia"/>
        </w:rPr>
        <w:t>须及时</w:t>
      </w:r>
      <w:r>
        <w:t>更换</w:t>
      </w:r>
      <w:r>
        <w:rPr>
          <w:rFonts w:hint="eastAsia"/>
        </w:rPr>
        <w:t>合格人员</w:t>
      </w:r>
      <w:r>
        <w:t>，</w:t>
      </w:r>
      <w:r>
        <w:rPr>
          <w:rFonts w:hint="eastAsia"/>
        </w:rPr>
        <w:t>逾期未到岗</w:t>
      </w:r>
      <w:r>
        <w:t>视为承包人违约，承包人为此向发包人支付人民币</w:t>
      </w:r>
      <w:r>
        <w:rPr>
          <w:rFonts w:hint="eastAsia"/>
          <w:u w:val="single"/>
        </w:rPr>
        <w:t xml:space="preserve"> 伍 </w:t>
      </w:r>
      <w:r>
        <w:t>万元</w:t>
      </w:r>
      <w:r>
        <w:rPr>
          <w:rFonts w:hint="eastAsia"/>
        </w:rPr>
        <w:t>/次</w:t>
      </w:r>
      <w:r>
        <w:t>的违约金。</w:t>
      </w:r>
    </w:p>
    <w:p>
      <w:pPr>
        <w:pStyle w:val="11"/>
        <w:spacing w:after="0"/>
        <w:ind w:left="-2" w:leftChars="-1" w:firstLine="360" w:firstLineChars="150"/>
      </w:pPr>
      <w:r>
        <w:t>5.1.</w:t>
      </w:r>
      <w:r>
        <w:rPr>
          <w:rFonts w:hint="eastAsia"/>
        </w:rPr>
        <w:t>4</w:t>
      </w:r>
      <w:r>
        <w:t>承包人代表、项目经理每周应保证在现场的工作时间不少于</w:t>
      </w:r>
      <w:r>
        <w:rPr>
          <w:u w:val="single"/>
        </w:rPr>
        <w:t xml:space="preserve"> </w:t>
      </w:r>
      <w:r>
        <w:rPr>
          <w:rFonts w:hint="eastAsia"/>
          <w:u w:val="single"/>
        </w:rPr>
        <w:t>6</w:t>
      </w:r>
      <w:r>
        <w:rPr>
          <w:u w:val="single"/>
        </w:rPr>
        <w:t xml:space="preserve"> </w:t>
      </w:r>
      <w:r>
        <w:t>天；项目其他主要管理人员每周应保证在现场的工作时间不少于</w:t>
      </w:r>
      <w:r>
        <w:rPr>
          <w:u w:val="single"/>
        </w:rPr>
        <w:t xml:space="preserve"> </w:t>
      </w:r>
      <w:r>
        <w:rPr>
          <w:rFonts w:hint="eastAsia"/>
          <w:u w:val="single"/>
        </w:rPr>
        <w:t>7</w:t>
      </w:r>
      <w:r>
        <w:t>天，未经发包人现场代表书面同意,主要工作人员每周少于上述工作天的</w:t>
      </w:r>
      <w:r>
        <w:rPr>
          <w:rFonts w:hint="eastAsia"/>
        </w:rPr>
        <w:t>，</w:t>
      </w:r>
      <w:r>
        <w:t>视为承包人违约，承包人为此向发包人支付每人每天人民币</w:t>
      </w:r>
      <w:r>
        <w:rPr>
          <w:rFonts w:hint="eastAsia"/>
          <w:u w:val="single"/>
        </w:rPr>
        <w:t xml:space="preserve"> 壹万 </w:t>
      </w:r>
      <w:r>
        <w:t>元的违约金。</w:t>
      </w:r>
      <w:r>
        <w:rPr>
          <w:rFonts w:hint="eastAsia"/>
        </w:rPr>
        <w:t xml:space="preserve"> </w:t>
      </w:r>
    </w:p>
    <w:p>
      <w:pPr>
        <w:pStyle w:val="10"/>
        <w:numPr>
          <w:ilvl w:val="0"/>
          <w:numId w:val="0"/>
        </w:numPr>
        <w:spacing w:before="0" w:after="0" w:line="360" w:lineRule="auto"/>
        <w:rPr>
          <w:rFonts w:hint="eastAsia"/>
          <w:b w:val="0"/>
          <w:bCs w:val="0"/>
          <w:szCs w:val="24"/>
        </w:rPr>
      </w:pPr>
      <w:bookmarkStart w:id="90" w:name="_Toc89406029"/>
      <w:bookmarkStart w:id="91" w:name="_Toc78944673"/>
      <w:bookmarkStart w:id="92" w:name="_Toc168739630"/>
      <w:bookmarkStart w:id="93" w:name="_Toc465441645"/>
      <w:bookmarkStart w:id="94" w:name="_Toc122080359"/>
      <w:r>
        <w:rPr>
          <w:b w:val="0"/>
          <w:bCs w:val="0"/>
          <w:szCs w:val="24"/>
        </w:rPr>
        <w:t>5.2 承包人</w:t>
      </w:r>
      <w:bookmarkEnd w:id="90"/>
      <w:bookmarkEnd w:id="91"/>
      <w:r>
        <w:rPr>
          <w:rFonts w:hint="eastAsia"/>
          <w:b w:val="0"/>
          <w:bCs w:val="0"/>
          <w:szCs w:val="24"/>
        </w:rPr>
        <w:t>的</w:t>
      </w:r>
      <w:r>
        <w:rPr>
          <w:b w:val="0"/>
          <w:bCs w:val="0"/>
          <w:szCs w:val="24"/>
        </w:rPr>
        <w:t>责任和义务</w:t>
      </w:r>
      <w:bookmarkEnd w:id="92"/>
      <w:bookmarkEnd w:id="93"/>
      <w:bookmarkEnd w:id="94"/>
    </w:p>
    <w:p>
      <w:pPr>
        <w:pStyle w:val="11"/>
        <w:spacing w:after="0"/>
        <w:ind w:firstLine="360" w:firstLineChars="150"/>
      </w:pPr>
      <w:r>
        <w:t>5.2.</w:t>
      </w:r>
      <w:r>
        <w:rPr>
          <w:rFonts w:hint="eastAsia"/>
        </w:rPr>
        <w:t>1</w:t>
      </w:r>
      <w:r>
        <w:t xml:space="preserve"> 承包人应完成的工作</w:t>
      </w:r>
      <w:r>
        <w:rPr>
          <w:rFonts w:hint="eastAsia"/>
        </w:rPr>
        <w:t>包括图纸和答疑所包含的所有明示内容，包括不限于承包范围、工程规范、合同清单</w:t>
      </w:r>
      <w:r>
        <w:t>、</w:t>
      </w:r>
      <w:r>
        <w:rPr>
          <w:rFonts w:hint="eastAsia"/>
        </w:rPr>
        <w:t>措施费报价说明等合同约定的所有工作内容。</w:t>
      </w:r>
    </w:p>
    <w:p>
      <w:pPr>
        <w:pStyle w:val="11"/>
        <w:spacing w:after="0"/>
        <w:ind w:firstLine="360" w:firstLineChars="150"/>
        <w:rPr>
          <w:rFonts w:hint="eastAsia"/>
        </w:rPr>
      </w:pPr>
      <w:r>
        <w:t>5.2.</w:t>
      </w:r>
      <w:r>
        <w:rPr>
          <w:rFonts w:hint="eastAsia"/>
        </w:rPr>
        <w:t>8分包合同的备案</w:t>
      </w:r>
    </w:p>
    <w:p>
      <w:pPr>
        <w:pStyle w:val="11"/>
        <w:spacing w:after="0"/>
        <w:ind w:firstLine="360" w:firstLineChars="150"/>
        <w:rPr>
          <w:rFonts w:hint="eastAsia"/>
        </w:rPr>
      </w:pPr>
      <w:r>
        <w:rPr>
          <w:rFonts w:hint="eastAsia"/>
        </w:rPr>
        <w:t>（1）分包合同备案的合同签订方式和具体的分包范围，以政府备案要求为准，合同中列为“暂估价的专业工程”、“发包人发包专业工程”的分包工程以及承包人施工的分部分项工程中涉及备案工作的工程，承包人需与分包人签订用于备案的外部分包合同，积极组织并协助分包合同备案。承包人需无条件配合一切合同备案工作，并承担相应所有费用。</w:t>
      </w:r>
    </w:p>
    <w:p>
      <w:pPr>
        <w:pStyle w:val="11"/>
        <w:spacing w:after="0"/>
        <w:ind w:firstLine="360" w:firstLineChars="150"/>
        <w:rPr>
          <w:rFonts w:hint="eastAsia"/>
        </w:rPr>
      </w:pPr>
      <w:r>
        <w:rPr>
          <w:rFonts w:hint="eastAsia"/>
        </w:rPr>
        <w:t>（2）分包合同备案时，承包人负责将拟签订备案合同送至总承包人处，承包人需先行盖章确认；备案合同双方盖章完成后，承包人应组织、配合总承包人于10日内完成备案；否则按每份合同每天5000元进行罚款。如因承包人延误或拒绝配合分包合同备案，造成建委检查扣分或罚款时，承包人除应承担发包人和总承包人的所有损失外，还将被处以每份</w:t>
      </w:r>
      <w:r>
        <w:rPr>
          <w:rFonts w:hint="eastAsia"/>
          <w:u w:val="single"/>
        </w:rPr>
        <w:t>10</w:t>
      </w:r>
      <w:r>
        <w:rPr>
          <w:rFonts w:hint="eastAsia"/>
        </w:rPr>
        <w:t>万元的罚款。</w:t>
      </w:r>
    </w:p>
    <w:p>
      <w:pPr>
        <w:pStyle w:val="11"/>
        <w:ind w:firstLine="360" w:firstLineChars="150"/>
        <w:rPr>
          <w:rFonts w:ascii="宋体" w:hAnsi="宋体"/>
        </w:rPr>
      </w:pPr>
      <w:r>
        <w:rPr>
          <w:rFonts w:hint="eastAsia"/>
        </w:rPr>
        <w:t>5.2.10</w:t>
      </w:r>
      <w:r>
        <w:rPr>
          <w:rFonts w:hint="eastAsia" w:ascii="宋体" w:hAnsi="宋体"/>
        </w:rPr>
        <w:t>专用条款约定承包人须完成的其他工作：</w:t>
      </w:r>
    </w:p>
    <w:p>
      <w:pPr>
        <w:pStyle w:val="11"/>
        <w:ind w:firstLine="360" w:firstLineChars="150"/>
        <w:rPr>
          <w:rFonts w:hint="eastAsia"/>
        </w:rPr>
      </w:pPr>
      <w:r>
        <w:rPr>
          <w:rFonts w:hint="eastAsia" w:ascii="宋体" w:hAnsi="宋体"/>
        </w:rPr>
        <w:t>（</w:t>
      </w:r>
      <w:r>
        <w:rPr>
          <w:rFonts w:hint="eastAsia"/>
        </w:rPr>
        <w:t>1）、 编制施工方案、进度计划并报发包人、监理审批同意后严格实施。</w:t>
      </w:r>
    </w:p>
    <w:p>
      <w:pPr>
        <w:pStyle w:val="11"/>
        <w:ind w:firstLine="360" w:firstLineChars="150"/>
        <w:rPr>
          <w:rFonts w:hint="eastAsia"/>
        </w:rPr>
      </w:pPr>
      <w:r>
        <w:rPr>
          <w:rFonts w:hint="eastAsia"/>
        </w:rPr>
        <w:t>（2）、 严格按发包人的竖向布置图及平基图说、质量技术要求、现行施工及验收规范、土石方爆破的施工管理要求和有关规定组织施工。</w:t>
      </w:r>
    </w:p>
    <w:p>
      <w:pPr>
        <w:pStyle w:val="11"/>
        <w:ind w:firstLine="360" w:firstLineChars="150"/>
        <w:rPr>
          <w:rFonts w:hint="eastAsia"/>
        </w:rPr>
      </w:pPr>
      <w:r>
        <w:rPr>
          <w:rFonts w:hint="eastAsia"/>
        </w:rPr>
        <w:t>（3）、 办理有关爆破施工手续，并承担相应的费用。严格控制爆破深度，严禁超设计深度开挖，对施工全过程的施工安全承担责任。在施工过程中严格按爆破施工规范要求进行爆破施工，确保过往车辆、行人及周边建筑物的安全。由此造成的损失由承包人自行承担。</w:t>
      </w:r>
    </w:p>
    <w:p>
      <w:pPr>
        <w:pStyle w:val="11"/>
        <w:ind w:firstLine="360" w:firstLineChars="150"/>
        <w:rPr>
          <w:rFonts w:hint="eastAsia"/>
        </w:rPr>
      </w:pPr>
      <w:r>
        <w:rPr>
          <w:rFonts w:hint="eastAsia"/>
        </w:rPr>
        <w:t>（4）、 服从发包人现场工程师的管理和调度。</w:t>
      </w:r>
    </w:p>
    <w:p>
      <w:pPr>
        <w:pStyle w:val="11"/>
        <w:ind w:firstLine="360" w:firstLineChars="150"/>
        <w:rPr>
          <w:rFonts w:hint="eastAsia"/>
        </w:rPr>
      </w:pPr>
      <w:r>
        <w:rPr>
          <w:rFonts w:hint="eastAsia"/>
        </w:rPr>
        <w:t>（5）、 做好现场安全管理，协调好与施工相关的周边关系，如因承包人施工造成的安全事故及对周边单位或个人造成经济损失由承包人承担赔偿责任。</w:t>
      </w:r>
    </w:p>
    <w:p>
      <w:pPr>
        <w:pStyle w:val="11"/>
        <w:ind w:firstLine="360" w:firstLineChars="150"/>
        <w:rPr>
          <w:rFonts w:hint="eastAsia"/>
        </w:rPr>
      </w:pPr>
      <w:r>
        <w:rPr>
          <w:rFonts w:hint="eastAsia"/>
        </w:rPr>
        <w:t>（6）、 负责施工现场内及运输路线的文明施工，按政府和发包人要求冲洗运输路面和施工区洒水降尘。如因措施不力造成政府部门的罚款由承包人承担。施工工地应当达到市级安全文明施工要求。</w:t>
      </w:r>
    </w:p>
    <w:p>
      <w:pPr>
        <w:pStyle w:val="11"/>
        <w:ind w:firstLine="360" w:firstLineChars="150"/>
        <w:rPr>
          <w:rFonts w:hint="eastAsia"/>
        </w:rPr>
      </w:pPr>
      <w:r>
        <w:rPr>
          <w:rFonts w:hint="eastAsia"/>
        </w:rPr>
        <w:t>（7）、 平基施工完成后由承包人向发包人提出书面验收申请，发包人在收到承包人验收申请后组织承包人、监理单位、土建总包方依据平场图、本合同约定质量要求和土方施工质量验收标准进行竣工验收，验收合格后将场地移交给土建总包方，若平基施工情况不符合本合同约定质量要求和土方施工质量验收标准以及场地平整设计施工图和景观施工要求，承包人应进行整改。</w:t>
      </w:r>
    </w:p>
    <w:p>
      <w:pPr>
        <w:pStyle w:val="11"/>
        <w:ind w:firstLine="360" w:firstLineChars="150"/>
        <w:rPr>
          <w:rFonts w:hint="eastAsia"/>
        </w:rPr>
      </w:pPr>
      <w:r>
        <w:rPr>
          <w:rFonts w:hint="eastAsia"/>
        </w:rPr>
        <w:t>（8）、 承包人所采购的材料、半成品、成品应当经监理检查，并按规定在监理的见证下送样试验，合格后方可使用。</w:t>
      </w:r>
    </w:p>
    <w:p>
      <w:pPr>
        <w:pStyle w:val="11"/>
        <w:spacing w:after="0"/>
        <w:rPr>
          <w:rFonts w:hint="eastAsia"/>
        </w:rPr>
      </w:pPr>
      <w:r>
        <w:rPr>
          <w:rFonts w:hint="eastAsia"/>
        </w:rPr>
        <w:t xml:space="preserve">   （9）、 承包人不应在施工场地内开采条石、片石、碎石等材料。</w:t>
      </w:r>
    </w:p>
    <w:p>
      <w:pPr>
        <w:pStyle w:val="11"/>
        <w:spacing w:after="0"/>
        <w:ind w:firstLine="360" w:firstLineChars="150"/>
        <w:rPr>
          <w:rFonts w:hint="eastAsia"/>
        </w:rPr>
      </w:pPr>
      <w:r>
        <w:t>5.</w:t>
      </w:r>
      <w:r>
        <w:rPr>
          <w:rFonts w:hint="eastAsia"/>
        </w:rPr>
        <w:t>3</w:t>
      </w:r>
      <w:r>
        <w:t>.</w:t>
      </w:r>
      <w:r>
        <w:rPr>
          <w:rFonts w:hint="eastAsia"/>
        </w:rPr>
        <w:t>5水电费的缴纳：</w:t>
      </w:r>
      <w:r>
        <w:rPr>
          <w:rFonts w:hint="eastAsia"/>
          <w:u w:val="single"/>
        </w:rPr>
        <w:t>本工程水电费已包含在本工程报价中，水电费的缴纳由施工单位直接缴纳或由发包人缴纳后在最近一次付款中扣除。若本工程不存在正式或临时用水、用电接口，需承包人自行考虑施工用水用电方式及费用，全部费用均在报价中综合考虑。</w:t>
      </w:r>
    </w:p>
    <w:p>
      <w:pPr>
        <w:pStyle w:val="2"/>
        <w:spacing w:before="240" w:beforeLines="100" w:after="0" w:line="360" w:lineRule="auto"/>
        <w:rPr>
          <w:rFonts w:hint="eastAsia"/>
          <w:b/>
          <w:sz w:val="24"/>
          <w:szCs w:val="24"/>
        </w:rPr>
      </w:pPr>
      <w:bookmarkStart w:id="95" w:name="_Toc78944680"/>
      <w:bookmarkStart w:id="96" w:name="_Toc89406036"/>
      <w:bookmarkStart w:id="97" w:name="_Toc122080360"/>
      <w:bookmarkStart w:id="98" w:name="_Toc465441646"/>
      <w:bookmarkStart w:id="99" w:name="_Toc168739631"/>
      <w:r>
        <w:rPr>
          <w:b/>
          <w:sz w:val="24"/>
          <w:szCs w:val="24"/>
        </w:rPr>
        <w:t>6、转让、分包和</w:t>
      </w:r>
      <w:bookmarkEnd w:id="95"/>
      <w:bookmarkEnd w:id="96"/>
      <w:r>
        <w:rPr>
          <w:b/>
          <w:sz w:val="24"/>
          <w:szCs w:val="24"/>
        </w:rPr>
        <w:t>独立工程</w:t>
      </w:r>
      <w:bookmarkEnd w:id="97"/>
      <w:bookmarkEnd w:id="98"/>
      <w:bookmarkEnd w:id="99"/>
    </w:p>
    <w:p>
      <w:pPr>
        <w:pStyle w:val="10"/>
        <w:numPr>
          <w:ilvl w:val="0"/>
          <w:numId w:val="0"/>
        </w:numPr>
        <w:spacing w:before="0" w:after="0" w:line="360" w:lineRule="auto"/>
        <w:rPr>
          <w:rFonts w:hint="eastAsia"/>
          <w:b w:val="0"/>
          <w:szCs w:val="24"/>
        </w:rPr>
      </w:pPr>
      <w:bookmarkStart w:id="100" w:name="_Toc78944682"/>
      <w:bookmarkStart w:id="101" w:name="_Toc168739633"/>
      <w:bookmarkStart w:id="102" w:name="_Toc122080362"/>
      <w:bookmarkStart w:id="103" w:name="_Toc89406038"/>
      <w:bookmarkStart w:id="104" w:name="_Toc465441647"/>
      <w:r>
        <w:rPr>
          <w:b w:val="0"/>
          <w:szCs w:val="24"/>
        </w:rPr>
        <w:t>6.2 分包</w:t>
      </w:r>
      <w:bookmarkEnd w:id="100"/>
      <w:r>
        <w:rPr>
          <w:b w:val="0"/>
          <w:szCs w:val="24"/>
        </w:rPr>
        <w:t>（包括自行分包和指定分包）</w:t>
      </w:r>
      <w:bookmarkEnd w:id="101"/>
      <w:bookmarkEnd w:id="102"/>
      <w:bookmarkEnd w:id="103"/>
      <w:r>
        <w:rPr>
          <w:rFonts w:hint="eastAsia"/>
          <w:b w:val="0"/>
          <w:bCs w:val="0"/>
          <w:szCs w:val="24"/>
        </w:rPr>
        <w:t>：</w:t>
      </w:r>
      <w:r>
        <w:rPr>
          <w:b w:val="0"/>
          <w:bCs w:val="0"/>
          <w:szCs w:val="24"/>
        </w:rPr>
        <w:t>详见承包范围</w:t>
      </w:r>
      <w:r>
        <w:rPr>
          <w:rFonts w:hint="eastAsia"/>
          <w:b w:val="0"/>
          <w:bCs w:val="0"/>
          <w:szCs w:val="24"/>
        </w:rPr>
        <w:t>（如有）</w:t>
      </w:r>
      <w:r>
        <w:rPr>
          <w:b w:val="0"/>
          <w:bCs w:val="0"/>
          <w:szCs w:val="24"/>
        </w:rPr>
        <w:t>。</w:t>
      </w:r>
      <w:bookmarkEnd w:id="104"/>
    </w:p>
    <w:p>
      <w:pPr>
        <w:pStyle w:val="10"/>
        <w:numPr>
          <w:ilvl w:val="0"/>
          <w:numId w:val="0"/>
        </w:numPr>
        <w:spacing w:before="0" w:after="0" w:line="360" w:lineRule="auto"/>
        <w:rPr>
          <w:b w:val="0"/>
          <w:szCs w:val="24"/>
        </w:rPr>
      </w:pPr>
      <w:bookmarkStart w:id="105" w:name="_Toc122080365"/>
      <w:bookmarkStart w:id="106" w:name="_Toc168739636"/>
      <w:bookmarkStart w:id="107" w:name="_Toc89406040"/>
      <w:bookmarkStart w:id="108" w:name="_Toc465441648"/>
      <w:r>
        <w:rPr>
          <w:b w:val="0"/>
          <w:szCs w:val="24"/>
        </w:rPr>
        <w:t>6.3 独立工程</w:t>
      </w:r>
      <w:bookmarkEnd w:id="105"/>
      <w:bookmarkEnd w:id="106"/>
      <w:bookmarkEnd w:id="107"/>
      <w:bookmarkEnd w:id="108"/>
    </w:p>
    <w:p>
      <w:pPr>
        <w:pStyle w:val="11"/>
        <w:spacing w:after="0"/>
        <w:ind w:left="957" w:leftChars="113" w:hanging="720" w:hangingChars="300"/>
      </w:pPr>
      <w:r>
        <w:t>6.3.1 本项目中的独立工程：详见承包范围</w:t>
      </w:r>
      <w:r>
        <w:rPr>
          <w:rFonts w:hint="eastAsia"/>
        </w:rPr>
        <w:t>（如有）</w:t>
      </w:r>
      <w:r>
        <w:t>。</w:t>
      </w:r>
    </w:p>
    <w:p>
      <w:pPr>
        <w:pStyle w:val="2"/>
        <w:spacing w:before="0" w:after="0" w:line="360" w:lineRule="auto"/>
        <w:rPr>
          <w:rFonts w:hint="eastAsia"/>
          <w:b/>
          <w:sz w:val="24"/>
          <w:szCs w:val="24"/>
        </w:rPr>
      </w:pPr>
      <w:bookmarkStart w:id="109" w:name="_Toc78944695"/>
      <w:bookmarkStart w:id="110" w:name="_Toc122080366"/>
      <w:bookmarkStart w:id="111" w:name="_Toc89406052"/>
      <w:bookmarkStart w:id="112" w:name="_Toc168739637"/>
      <w:bookmarkStart w:id="113" w:name="_Toc465441649"/>
      <w:r>
        <w:rPr>
          <w:b/>
          <w:sz w:val="24"/>
          <w:szCs w:val="24"/>
        </w:rPr>
        <w:t>7、材料、设备供应</w:t>
      </w:r>
      <w:bookmarkEnd w:id="109"/>
      <w:bookmarkEnd w:id="110"/>
      <w:bookmarkEnd w:id="111"/>
      <w:bookmarkEnd w:id="112"/>
      <w:r>
        <w:rPr>
          <w:rFonts w:hint="eastAsia"/>
          <w:b/>
          <w:sz w:val="24"/>
          <w:szCs w:val="24"/>
        </w:rPr>
        <w:t>（</w:t>
      </w:r>
      <w:r>
        <w:rPr>
          <w:b/>
          <w:sz w:val="24"/>
          <w:szCs w:val="24"/>
        </w:rPr>
        <w:t>如有）</w:t>
      </w:r>
      <w:bookmarkEnd w:id="113"/>
    </w:p>
    <w:p>
      <w:pPr>
        <w:pStyle w:val="10"/>
        <w:numPr>
          <w:ilvl w:val="0"/>
          <w:numId w:val="0"/>
        </w:numPr>
        <w:spacing w:before="0" w:after="0" w:line="360" w:lineRule="auto"/>
        <w:rPr>
          <w:b w:val="0"/>
          <w:szCs w:val="24"/>
        </w:rPr>
      </w:pPr>
      <w:bookmarkStart w:id="114" w:name="_Toc122080369"/>
      <w:bookmarkStart w:id="115" w:name="_Toc78944696"/>
      <w:bookmarkStart w:id="116" w:name="_Toc168739638"/>
      <w:bookmarkStart w:id="117" w:name="_Toc89406053"/>
      <w:bookmarkStart w:id="118" w:name="_Toc465441650"/>
      <w:bookmarkStart w:id="119" w:name="_Toc122080367"/>
      <w:r>
        <w:rPr>
          <w:b w:val="0"/>
          <w:szCs w:val="24"/>
        </w:rPr>
        <w:t>7.1 发包人供应材料设备</w:t>
      </w:r>
      <w:bookmarkEnd w:id="114"/>
      <w:bookmarkEnd w:id="115"/>
      <w:bookmarkEnd w:id="116"/>
      <w:bookmarkEnd w:id="117"/>
      <w:r>
        <w:rPr>
          <w:rFonts w:hint="eastAsia"/>
          <w:b w:val="0"/>
          <w:szCs w:val="24"/>
        </w:rPr>
        <w:t>（甲供材）</w:t>
      </w:r>
      <w:bookmarkEnd w:id="118"/>
    </w:p>
    <w:p>
      <w:pPr>
        <w:pStyle w:val="11"/>
        <w:spacing w:after="0"/>
        <w:ind w:left="-2" w:leftChars="-1" w:firstLine="360" w:firstLineChars="150"/>
        <w:rPr>
          <w:rFonts w:hint="eastAsia" w:ascii="宋体" w:hAnsi="宋体"/>
          <w:u w:val="single"/>
        </w:rPr>
      </w:pPr>
      <w:r>
        <w:rPr>
          <w:rFonts w:hint="eastAsia"/>
        </w:rPr>
        <w:t>无</w:t>
      </w:r>
    </w:p>
    <w:bookmarkEnd w:id="119"/>
    <w:p>
      <w:pPr>
        <w:pStyle w:val="10"/>
        <w:numPr>
          <w:ilvl w:val="0"/>
          <w:numId w:val="0"/>
        </w:numPr>
        <w:spacing w:before="0" w:after="0" w:line="360" w:lineRule="auto"/>
        <w:rPr>
          <w:b w:val="0"/>
          <w:szCs w:val="24"/>
        </w:rPr>
      </w:pPr>
      <w:bookmarkStart w:id="120" w:name="_Toc122080368"/>
      <w:bookmarkStart w:id="121" w:name="_Toc168739639"/>
      <w:bookmarkStart w:id="122" w:name="_Toc78944697"/>
      <w:bookmarkStart w:id="123" w:name="_Toc89406054"/>
      <w:bookmarkStart w:id="124" w:name="_Toc465441651"/>
      <w:r>
        <w:rPr>
          <w:b w:val="0"/>
          <w:szCs w:val="24"/>
        </w:rPr>
        <w:t>7.2 指定</w:t>
      </w:r>
      <w:r>
        <w:rPr>
          <w:rFonts w:hint="eastAsia"/>
          <w:b w:val="0"/>
          <w:szCs w:val="24"/>
        </w:rPr>
        <w:t>供应</w:t>
      </w:r>
      <w:r>
        <w:rPr>
          <w:b w:val="0"/>
          <w:szCs w:val="24"/>
        </w:rPr>
        <w:t>材料设备</w:t>
      </w:r>
      <w:bookmarkEnd w:id="120"/>
      <w:bookmarkEnd w:id="121"/>
      <w:bookmarkEnd w:id="122"/>
      <w:bookmarkEnd w:id="123"/>
      <w:r>
        <w:rPr>
          <w:rFonts w:hint="eastAsia"/>
          <w:b w:val="0"/>
          <w:szCs w:val="24"/>
        </w:rPr>
        <w:t>（甲指乙供）</w:t>
      </w:r>
      <w:bookmarkEnd w:id="124"/>
    </w:p>
    <w:p>
      <w:pPr>
        <w:pStyle w:val="11"/>
        <w:spacing w:after="0"/>
        <w:ind w:left="-2" w:leftChars="-1" w:firstLine="360" w:firstLineChars="150"/>
        <w:rPr>
          <w:rFonts w:hint="eastAsia"/>
        </w:rPr>
      </w:pPr>
      <w:r>
        <w:rPr>
          <w:rFonts w:hint="eastAsia"/>
        </w:rPr>
        <w:t>无</w:t>
      </w:r>
    </w:p>
    <w:p>
      <w:pPr>
        <w:pStyle w:val="10"/>
        <w:numPr>
          <w:ilvl w:val="0"/>
          <w:numId w:val="0"/>
        </w:numPr>
        <w:spacing w:before="0" w:after="0" w:line="360" w:lineRule="auto"/>
        <w:rPr>
          <w:b w:val="0"/>
          <w:szCs w:val="24"/>
        </w:rPr>
      </w:pPr>
      <w:bookmarkStart w:id="125" w:name="_Toc168739640"/>
      <w:bookmarkStart w:id="126" w:name="_Toc465441652"/>
      <w:r>
        <w:rPr>
          <w:b w:val="0"/>
          <w:szCs w:val="24"/>
        </w:rPr>
        <w:t>7.3 承包人采购材料设备</w:t>
      </w:r>
      <w:bookmarkEnd w:id="125"/>
      <w:r>
        <w:rPr>
          <w:rFonts w:hint="eastAsia"/>
          <w:b w:val="0"/>
          <w:szCs w:val="24"/>
        </w:rPr>
        <w:t>（乙供材）</w:t>
      </w:r>
      <w:bookmarkEnd w:id="126"/>
    </w:p>
    <w:p>
      <w:pPr>
        <w:pStyle w:val="11"/>
        <w:spacing w:after="0"/>
        <w:ind w:left="-2" w:leftChars="-1" w:firstLine="360" w:firstLineChars="150"/>
        <w:rPr>
          <w:rFonts w:hint="eastAsia"/>
        </w:rPr>
      </w:pPr>
      <w:r>
        <w:t>7.3.1发包人限品牌承包人采购供应材料：详见</w:t>
      </w:r>
      <w:r>
        <w:rPr>
          <w:rFonts w:hint="eastAsia"/>
        </w:rPr>
        <w:t>承包范围</w:t>
      </w:r>
      <w:r>
        <w:t>。</w:t>
      </w:r>
    </w:p>
    <w:p>
      <w:pPr>
        <w:spacing w:line="360" w:lineRule="auto"/>
        <w:ind w:left="959" w:leftChars="171" w:hanging="600" w:hangingChars="250"/>
        <w:rPr>
          <w:sz w:val="24"/>
        </w:rPr>
      </w:pPr>
      <w:r>
        <w:rPr>
          <w:rFonts w:hint="eastAsia"/>
          <w:sz w:val="24"/>
        </w:rPr>
        <w:t>7.3.7 其他约定：</w:t>
      </w:r>
      <w:r>
        <w:rPr>
          <w:rFonts w:hint="eastAsia"/>
          <w:sz w:val="24"/>
          <w:u w:val="single"/>
        </w:rPr>
        <w:t xml:space="preserve">              </w:t>
      </w:r>
      <w:r>
        <w:rPr>
          <w:rFonts w:hint="eastAsia"/>
          <w:sz w:val="24"/>
          <w:u w:val="single"/>
          <w:lang w:val="en-US" w:eastAsia="zh-CN"/>
        </w:rPr>
        <w:t>/</w:t>
      </w:r>
      <w:r>
        <w:rPr>
          <w:rFonts w:hint="eastAsia"/>
          <w:sz w:val="24"/>
          <w:u w:val="single"/>
        </w:rPr>
        <w:t xml:space="preserve">                   </w:t>
      </w:r>
      <w:r>
        <w:rPr>
          <w:rFonts w:hint="eastAsia"/>
          <w:sz w:val="24"/>
        </w:rPr>
        <w:t>。</w:t>
      </w:r>
    </w:p>
    <w:p>
      <w:pPr>
        <w:pStyle w:val="2"/>
        <w:spacing w:before="0" w:after="0" w:line="360" w:lineRule="auto"/>
        <w:rPr>
          <w:b/>
          <w:sz w:val="24"/>
          <w:szCs w:val="24"/>
        </w:rPr>
      </w:pPr>
      <w:bookmarkStart w:id="127" w:name="_Toc465441653"/>
      <w:bookmarkStart w:id="128" w:name="_Toc78944690"/>
      <w:bookmarkStart w:id="129" w:name="_Toc89406047"/>
      <w:bookmarkStart w:id="130" w:name="_Toc122080374"/>
      <w:bookmarkStart w:id="131" w:name="_Toc168739647"/>
      <w:bookmarkStart w:id="132" w:name="_Toc89406049"/>
      <w:bookmarkStart w:id="133" w:name="_Toc122080376"/>
      <w:bookmarkStart w:id="134" w:name="_Toc78944692"/>
      <w:r>
        <w:rPr>
          <w:b/>
          <w:sz w:val="24"/>
          <w:szCs w:val="24"/>
        </w:rPr>
        <w:t>9、工期管理</w:t>
      </w:r>
      <w:bookmarkEnd w:id="127"/>
      <w:bookmarkEnd w:id="128"/>
      <w:bookmarkEnd w:id="129"/>
      <w:bookmarkEnd w:id="130"/>
      <w:bookmarkEnd w:id="131"/>
    </w:p>
    <w:p>
      <w:pPr>
        <w:pStyle w:val="10"/>
        <w:numPr>
          <w:ilvl w:val="0"/>
          <w:numId w:val="0"/>
        </w:numPr>
        <w:spacing w:before="0" w:after="0" w:line="360" w:lineRule="auto"/>
        <w:rPr>
          <w:b w:val="0"/>
          <w:szCs w:val="24"/>
        </w:rPr>
      </w:pPr>
      <w:bookmarkStart w:id="135" w:name="_Toc168739648"/>
      <w:bookmarkStart w:id="136" w:name="_Toc122080375"/>
      <w:bookmarkStart w:id="137" w:name="_Toc78944691"/>
      <w:bookmarkStart w:id="138" w:name="_Toc465441654"/>
      <w:bookmarkStart w:id="139" w:name="_Toc89406048"/>
      <w:r>
        <w:rPr>
          <w:b w:val="0"/>
          <w:szCs w:val="24"/>
        </w:rPr>
        <w:t>9.</w:t>
      </w:r>
      <w:r>
        <w:rPr>
          <w:rFonts w:hint="eastAsia"/>
          <w:b w:val="0"/>
          <w:szCs w:val="24"/>
        </w:rPr>
        <w:t>1.1</w:t>
      </w:r>
      <w:r>
        <w:rPr>
          <w:b w:val="0"/>
          <w:szCs w:val="24"/>
        </w:rPr>
        <w:t>工期</w:t>
      </w:r>
      <w:bookmarkEnd w:id="135"/>
      <w:bookmarkEnd w:id="136"/>
      <w:bookmarkEnd w:id="137"/>
      <w:bookmarkEnd w:id="138"/>
      <w:bookmarkEnd w:id="139"/>
    </w:p>
    <w:bookmarkEnd w:id="132"/>
    <w:bookmarkEnd w:id="133"/>
    <w:bookmarkEnd w:id="134"/>
    <w:p>
      <w:pPr>
        <w:pStyle w:val="11"/>
        <w:spacing w:after="0"/>
        <w:ind w:left="1260" w:leftChars="257" w:hanging="720" w:hangingChars="300"/>
        <w:rPr>
          <w:rFonts w:ascii="宋体" w:hAnsi="宋体"/>
        </w:rPr>
      </w:pPr>
      <w:r>
        <w:rPr>
          <w:rFonts w:ascii="宋体" w:hAnsi="宋体"/>
        </w:rPr>
        <w:t>9.1.1本工程之工期约定如下：</w:t>
      </w:r>
    </w:p>
    <w:p>
      <w:pPr>
        <w:spacing w:line="360" w:lineRule="auto"/>
        <w:ind w:left="720" w:firstLine="540" w:firstLineChars="225"/>
        <w:rPr>
          <w:rFonts w:ascii="宋体" w:hAnsi="宋体" w:cs="Arial"/>
          <w:sz w:val="24"/>
        </w:rPr>
      </w:pPr>
      <w:r>
        <w:rPr>
          <w:rFonts w:ascii="宋体" w:hAnsi="宋体" w:cs="Arial"/>
          <w:sz w:val="24"/>
        </w:rPr>
        <w:t>开工日期：</w:t>
      </w:r>
      <w:r>
        <w:rPr>
          <w:rFonts w:ascii="宋体" w:hAnsi="宋体" w:cs="Arial"/>
          <w:i/>
          <w:sz w:val="24"/>
          <w:u w:val="single"/>
        </w:rPr>
        <w:t xml:space="preserve">        </w:t>
      </w:r>
      <w:r>
        <w:rPr>
          <w:rFonts w:hint="eastAsia" w:ascii="宋体" w:hAnsi="宋体" w:cs="Arial"/>
          <w:sz w:val="24"/>
          <w:u w:val="single"/>
        </w:rPr>
        <w:t>201</w:t>
      </w:r>
      <w:r>
        <w:rPr>
          <w:rFonts w:hint="eastAsia" w:ascii="宋体" w:hAnsi="宋体" w:cs="Arial"/>
          <w:sz w:val="24"/>
          <w:u w:val="single"/>
          <w:lang w:val="en-US" w:eastAsia="zh-CN"/>
        </w:rPr>
        <w:t>9</w:t>
      </w:r>
      <w:r>
        <w:rPr>
          <w:rFonts w:hint="eastAsia" w:ascii="宋体" w:hAnsi="宋体" w:cs="Arial"/>
          <w:sz w:val="24"/>
          <w:u w:val="single"/>
        </w:rPr>
        <w:t>/</w:t>
      </w:r>
      <w:r>
        <w:rPr>
          <w:rFonts w:hint="eastAsia" w:ascii="宋体" w:hAnsi="宋体" w:cs="Arial"/>
          <w:sz w:val="24"/>
          <w:u w:val="single"/>
          <w:lang w:val="en-US" w:eastAsia="zh-CN"/>
        </w:rPr>
        <w:t>3</w:t>
      </w:r>
      <w:r>
        <w:rPr>
          <w:rFonts w:hint="eastAsia" w:ascii="宋体" w:hAnsi="宋体" w:cs="Arial"/>
          <w:sz w:val="24"/>
          <w:u w:val="single"/>
        </w:rPr>
        <w:t>/</w:t>
      </w:r>
      <w:r>
        <w:rPr>
          <w:rFonts w:hint="eastAsia" w:ascii="宋体" w:hAnsi="宋体" w:cs="Arial"/>
          <w:sz w:val="24"/>
          <w:u w:val="single"/>
          <w:lang w:val="en-US" w:eastAsia="zh-CN"/>
        </w:rPr>
        <w:t>30</w:t>
      </w:r>
      <w:r>
        <w:rPr>
          <w:rFonts w:ascii="宋体" w:hAnsi="宋体" w:cs="Arial"/>
          <w:i/>
          <w:sz w:val="24"/>
          <w:u w:val="single"/>
        </w:rPr>
        <w:t xml:space="preserve">   </w:t>
      </w:r>
      <w:r>
        <w:rPr>
          <w:rFonts w:hint="eastAsia" w:ascii="宋体" w:hAnsi="宋体" w:cs="Arial"/>
          <w:i/>
          <w:sz w:val="24"/>
          <w:u w:val="single"/>
        </w:rPr>
        <w:t xml:space="preserve"> </w:t>
      </w:r>
      <w:r>
        <w:rPr>
          <w:rFonts w:ascii="宋体" w:hAnsi="宋体" w:cs="Arial"/>
          <w:i/>
          <w:sz w:val="24"/>
          <w:u w:val="single"/>
        </w:rPr>
        <w:t xml:space="preserve">    </w:t>
      </w:r>
      <w:r>
        <w:rPr>
          <w:rFonts w:ascii="宋体" w:hAnsi="宋体" w:cs="Arial"/>
          <w:sz w:val="24"/>
        </w:rPr>
        <w:t>，实际开工时间以发包人发出的开工令为准；</w:t>
      </w:r>
    </w:p>
    <w:p>
      <w:pPr>
        <w:spacing w:line="360" w:lineRule="auto"/>
        <w:ind w:left="1276" w:leftChars="607" w:hanging="1"/>
        <w:rPr>
          <w:rFonts w:ascii="宋体" w:hAnsi="宋体" w:cs="Arial"/>
          <w:sz w:val="24"/>
        </w:rPr>
      </w:pPr>
      <w:r>
        <w:rPr>
          <w:rFonts w:ascii="宋体" w:hAnsi="宋体" w:cs="Arial"/>
          <w:sz w:val="24"/>
        </w:rPr>
        <w:t>竣工日期：</w:t>
      </w:r>
      <w:r>
        <w:rPr>
          <w:rFonts w:ascii="宋体" w:hAnsi="宋体" w:cs="Arial"/>
          <w:sz w:val="24"/>
          <w:u w:val="single"/>
        </w:rPr>
        <w:t xml:space="preserve">      </w:t>
      </w:r>
      <w:r>
        <w:rPr>
          <w:rFonts w:hint="eastAsia" w:ascii="宋体" w:hAnsi="宋体" w:cs="Arial"/>
          <w:sz w:val="24"/>
          <w:u w:val="single"/>
        </w:rPr>
        <w:t xml:space="preserve">/          </w:t>
      </w:r>
      <w:r>
        <w:rPr>
          <w:rFonts w:ascii="宋体" w:hAnsi="宋体" w:cs="Arial"/>
          <w:sz w:val="24"/>
          <w:u w:val="single"/>
        </w:rPr>
        <w:t xml:space="preserve">         </w:t>
      </w:r>
      <w:r>
        <w:rPr>
          <w:rFonts w:ascii="宋体" w:hAnsi="宋体" w:cs="Arial"/>
          <w:sz w:val="24"/>
        </w:rPr>
        <w:t>，实际竣工时间以发包人发出的开工令所述时间加上合同总工期计算（含开工令所述时间当天）；</w:t>
      </w:r>
      <w:r>
        <w:rPr>
          <w:rFonts w:hint="eastAsia" w:ascii="Arial" w:hAnsi="Arial" w:cs="Arial"/>
          <w:kern w:val="0"/>
          <w:sz w:val="24"/>
        </w:rPr>
        <w:t>除本合同另有约定外，一切其它可能致使承包人在时间上受损的原因包括但不限于休息日、法定假日、雨季、停水、停电、材料订货、因承包方原因造成的停工、与指定分包单位及独立分包单位之间的配合时间等，皆已包括在上述工期内。</w:t>
      </w:r>
    </w:p>
    <w:p>
      <w:pPr>
        <w:spacing w:line="360" w:lineRule="auto"/>
        <w:ind w:left="1276" w:leftChars="607" w:hanging="1"/>
        <w:rPr>
          <w:rFonts w:hint="eastAsia" w:ascii="宋体" w:hAnsi="宋体" w:cs="Arial"/>
          <w:sz w:val="24"/>
        </w:rPr>
      </w:pPr>
      <w:r>
        <w:rPr>
          <w:rFonts w:ascii="宋体" w:hAnsi="宋体" w:cs="Arial"/>
          <w:sz w:val="24"/>
        </w:rPr>
        <w:t>合同总工期：</w:t>
      </w:r>
      <w:r>
        <w:rPr>
          <w:rFonts w:hint="eastAsia" w:ascii="宋体" w:hAnsi="宋体" w:cs="Arial"/>
          <w:sz w:val="24"/>
          <w:lang w:eastAsia="zh-CN"/>
        </w:rPr>
        <w:t>北</w:t>
      </w:r>
      <w:r>
        <w:rPr>
          <w:rFonts w:hint="eastAsia" w:ascii="宋体" w:hAnsi="宋体" w:cs="Arial"/>
          <w:sz w:val="24"/>
        </w:rPr>
        <w:t>地块</w:t>
      </w:r>
      <w:r>
        <w:rPr>
          <w:rFonts w:hint="eastAsia" w:ascii="宋体" w:hAnsi="宋体" w:cs="Arial"/>
          <w:sz w:val="24"/>
          <w:lang w:eastAsia="zh-CN"/>
        </w:rPr>
        <w:t>包含</w:t>
      </w:r>
      <w:r>
        <w:rPr>
          <w:rFonts w:hint="eastAsia" w:ascii="宋体" w:hAnsi="宋体" w:cs="Arial"/>
          <w:sz w:val="24"/>
        </w:rPr>
        <w:t>销售示范区共</w:t>
      </w:r>
      <w:r>
        <w:rPr>
          <w:rFonts w:hint="eastAsia" w:ascii="宋体" w:hAnsi="宋体" w:cs="Arial"/>
          <w:sz w:val="24"/>
          <w:lang w:val="en-US" w:eastAsia="zh-CN"/>
        </w:rPr>
        <w:t>6</w:t>
      </w:r>
      <w:r>
        <w:rPr>
          <w:rFonts w:hint="eastAsia" w:ascii="宋体" w:hAnsi="宋体" w:cs="Arial"/>
          <w:sz w:val="24"/>
        </w:rPr>
        <w:t>0个日历天</w:t>
      </w:r>
      <w:r>
        <w:rPr>
          <w:rFonts w:ascii="宋体" w:hAnsi="宋体" w:cs="Arial"/>
          <w:sz w:val="24"/>
        </w:rPr>
        <w:t>，包括所有准备工作、申请有关批文、证件等所需时间。</w:t>
      </w:r>
    </w:p>
    <w:p>
      <w:pPr>
        <w:pStyle w:val="11"/>
        <w:spacing w:after="0"/>
        <w:ind w:left="1260" w:leftChars="257" w:hanging="720" w:hangingChars="300"/>
        <w:rPr>
          <w:rFonts w:ascii="宋体" w:hAnsi="宋体"/>
        </w:rPr>
      </w:pPr>
      <w:r>
        <w:rPr>
          <w:rFonts w:ascii="宋体" w:hAnsi="宋体"/>
        </w:rPr>
        <w:t>9.1.2节点工期</w:t>
      </w:r>
    </w:p>
    <w:p>
      <w:pPr>
        <w:widowControl/>
        <w:tabs>
          <w:tab w:val="left" w:pos="1276"/>
        </w:tabs>
        <w:spacing w:line="360" w:lineRule="auto"/>
        <w:ind w:left="1275" w:leftChars="606" w:hanging="2"/>
        <w:rPr>
          <w:rFonts w:hint="eastAsia" w:ascii="宋体" w:hAnsi="宋体" w:cs="Arial"/>
          <w:sz w:val="24"/>
          <w:u w:val="single"/>
          <w:lang w:val="zh-CN"/>
        </w:rPr>
      </w:pPr>
      <w:r>
        <w:rPr>
          <w:rFonts w:hint="eastAsia" w:ascii="宋体" w:hAnsi="宋体" w:cs="Arial"/>
          <w:sz w:val="24"/>
          <w:u w:val="single"/>
          <w:lang w:val="zh-CN"/>
        </w:rPr>
        <w:t>我司承诺在进场后每天外运土石方量达到如下要求：</w:t>
      </w:r>
    </w:p>
    <w:tbl>
      <w:tblPr>
        <w:tblStyle w:val="7"/>
        <w:tblW w:w="8647" w:type="dxa"/>
        <w:tblInd w:w="108" w:type="dxa"/>
        <w:tblLayout w:type="fixed"/>
        <w:tblCellMar>
          <w:top w:w="0" w:type="dxa"/>
          <w:left w:w="108" w:type="dxa"/>
          <w:bottom w:w="0" w:type="dxa"/>
          <w:right w:w="108" w:type="dxa"/>
        </w:tblCellMar>
      </w:tblPr>
      <w:tblGrid>
        <w:gridCol w:w="721"/>
        <w:gridCol w:w="2398"/>
        <w:gridCol w:w="3260"/>
        <w:gridCol w:w="2268"/>
      </w:tblGrid>
      <w:tr>
        <w:tblPrEx>
          <w:tblLayout w:type="fixed"/>
          <w:tblCellMar>
            <w:top w:w="0" w:type="dxa"/>
            <w:left w:w="108" w:type="dxa"/>
            <w:bottom w:w="0" w:type="dxa"/>
            <w:right w:w="108" w:type="dxa"/>
          </w:tblCellMar>
        </w:tblPrEx>
        <w:trPr>
          <w:trHeight w:val="405" w:hRule="atLeast"/>
        </w:trPr>
        <w:tc>
          <w:tcPr>
            <w:tcW w:w="721" w:type="dxa"/>
            <w:tcBorders>
              <w:top w:val="single" w:color="auto" w:sz="4" w:space="0"/>
              <w:left w:val="single" w:color="auto" w:sz="4" w:space="0"/>
              <w:bottom w:val="single" w:color="auto" w:sz="4" w:space="0"/>
              <w:right w:val="single" w:color="auto" w:sz="4" w:space="0"/>
            </w:tcBorders>
            <w:vAlign w:val="center"/>
          </w:tcPr>
          <w:p>
            <w:pPr>
              <w:rPr>
                <w:rFonts w:ascii="Arial" w:hAnsi="Arial" w:cs="Arial"/>
                <w:szCs w:val="21"/>
              </w:rPr>
            </w:pPr>
            <w:r>
              <w:rPr>
                <w:rFonts w:hint="eastAsia" w:ascii="Arial" w:hAnsi="Arial" w:cs="Arial"/>
                <w:szCs w:val="21"/>
              </w:rPr>
              <w:t>序号</w:t>
            </w:r>
          </w:p>
        </w:tc>
        <w:tc>
          <w:tcPr>
            <w:tcW w:w="2398" w:type="dxa"/>
            <w:tcBorders>
              <w:top w:val="single" w:color="auto" w:sz="4" w:space="0"/>
              <w:left w:val="nil"/>
              <w:bottom w:val="single" w:color="auto" w:sz="4" w:space="0"/>
              <w:right w:val="single" w:color="auto" w:sz="4" w:space="0"/>
            </w:tcBorders>
            <w:vAlign w:val="center"/>
          </w:tcPr>
          <w:p>
            <w:pPr>
              <w:rPr>
                <w:rFonts w:ascii="Arial" w:hAnsi="Arial" w:cs="Arial"/>
                <w:szCs w:val="21"/>
              </w:rPr>
            </w:pPr>
            <w:r>
              <w:rPr>
                <w:rFonts w:hint="eastAsia" w:ascii="Arial" w:hAnsi="Arial" w:cs="Arial"/>
                <w:szCs w:val="21"/>
              </w:rPr>
              <w:t>工作内容</w:t>
            </w:r>
          </w:p>
        </w:tc>
        <w:tc>
          <w:tcPr>
            <w:tcW w:w="3260" w:type="dxa"/>
            <w:tcBorders>
              <w:top w:val="single" w:color="auto" w:sz="4" w:space="0"/>
              <w:left w:val="nil"/>
              <w:bottom w:val="single" w:color="auto" w:sz="4" w:space="0"/>
              <w:right w:val="single" w:color="auto" w:sz="4" w:space="0"/>
            </w:tcBorders>
            <w:vAlign w:val="center"/>
          </w:tcPr>
          <w:p>
            <w:pPr>
              <w:rPr>
                <w:rFonts w:ascii="Arial" w:hAnsi="Arial" w:cs="Arial"/>
                <w:szCs w:val="21"/>
              </w:rPr>
            </w:pPr>
            <w:r>
              <w:rPr>
                <w:rFonts w:hint="eastAsia" w:ascii="Arial" w:hAnsi="Arial" w:cs="Arial"/>
                <w:szCs w:val="21"/>
              </w:rPr>
              <w:t>工期要求</w:t>
            </w:r>
          </w:p>
        </w:tc>
        <w:tc>
          <w:tcPr>
            <w:tcW w:w="2268" w:type="dxa"/>
            <w:tcBorders>
              <w:top w:val="single" w:color="auto" w:sz="4" w:space="0"/>
              <w:left w:val="nil"/>
              <w:bottom w:val="single" w:color="auto" w:sz="4" w:space="0"/>
              <w:right w:val="single" w:color="auto" w:sz="4" w:space="0"/>
            </w:tcBorders>
            <w:vAlign w:val="center"/>
          </w:tcPr>
          <w:p>
            <w:pPr>
              <w:rPr>
                <w:rFonts w:ascii="Arial" w:hAnsi="Arial" w:cs="Arial"/>
                <w:szCs w:val="21"/>
              </w:rPr>
            </w:pPr>
            <w:r>
              <w:rPr>
                <w:rFonts w:hint="eastAsia" w:ascii="Arial" w:hAnsi="Arial" w:cs="Arial"/>
                <w:szCs w:val="21"/>
              </w:rPr>
              <w:t>达到标准</w:t>
            </w:r>
          </w:p>
        </w:tc>
      </w:tr>
      <w:tr>
        <w:tblPrEx>
          <w:tblLayout w:type="fixed"/>
          <w:tblCellMar>
            <w:top w:w="0" w:type="dxa"/>
            <w:left w:w="108" w:type="dxa"/>
            <w:bottom w:w="0" w:type="dxa"/>
            <w:right w:w="108" w:type="dxa"/>
          </w:tblCellMar>
        </w:tblPrEx>
        <w:trPr>
          <w:trHeight w:val="609" w:hRule="atLeast"/>
        </w:trPr>
        <w:tc>
          <w:tcPr>
            <w:tcW w:w="721"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Cs w:val="21"/>
              </w:rPr>
            </w:pPr>
            <w:r>
              <w:rPr>
                <w:rFonts w:hint="eastAsia" w:ascii="Arial" w:hAnsi="Arial" w:cs="Arial"/>
                <w:szCs w:val="21"/>
              </w:rPr>
              <w:t>1</w:t>
            </w:r>
          </w:p>
        </w:tc>
        <w:tc>
          <w:tcPr>
            <w:tcW w:w="2398" w:type="dxa"/>
            <w:tcBorders>
              <w:top w:val="single" w:color="auto" w:sz="4" w:space="0"/>
              <w:left w:val="nil"/>
              <w:bottom w:val="single" w:color="auto" w:sz="4" w:space="0"/>
              <w:right w:val="single" w:color="auto" w:sz="4" w:space="0"/>
            </w:tcBorders>
            <w:vAlign w:val="center"/>
          </w:tcPr>
          <w:p>
            <w:pPr>
              <w:rPr>
                <w:rFonts w:ascii="Arial" w:hAnsi="Arial" w:cs="Arial"/>
                <w:szCs w:val="21"/>
              </w:rPr>
            </w:pPr>
            <w:r>
              <w:rPr>
                <w:rFonts w:hint="eastAsia" w:ascii="Arial" w:hAnsi="Arial" w:cs="Arial"/>
                <w:szCs w:val="21"/>
              </w:rPr>
              <w:t>进场时间</w:t>
            </w:r>
          </w:p>
        </w:tc>
        <w:tc>
          <w:tcPr>
            <w:tcW w:w="3260" w:type="dxa"/>
            <w:tcBorders>
              <w:top w:val="single" w:color="auto" w:sz="4" w:space="0"/>
              <w:left w:val="nil"/>
              <w:bottom w:val="single" w:color="auto" w:sz="4" w:space="0"/>
              <w:right w:val="single" w:color="auto" w:sz="4" w:space="0"/>
            </w:tcBorders>
            <w:vAlign w:val="center"/>
          </w:tcPr>
          <w:p>
            <w:pPr>
              <w:rPr>
                <w:rFonts w:hint="eastAsia" w:ascii="Arial" w:hAnsi="Arial" w:cs="Arial"/>
                <w:color w:val="FF0000"/>
                <w:szCs w:val="21"/>
              </w:rPr>
            </w:pPr>
            <w:r>
              <w:rPr>
                <w:rFonts w:hint="eastAsia" w:ascii="Arial" w:hAnsi="Arial" w:cs="Arial"/>
                <w:color w:val="FF0000"/>
                <w:szCs w:val="21"/>
              </w:rPr>
              <w:t>2</w:t>
            </w:r>
            <w:r>
              <w:rPr>
                <w:rFonts w:ascii="Arial" w:hAnsi="Arial" w:cs="Arial"/>
                <w:color w:val="FF0000"/>
                <w:szCs w:val="21"/>
              </w:rPr>
              <w:t>01</w:t>
            </w:r>
            <w:r>
              <w:rPr>
                <w:rFonts w:hint="eastAsia" w:ascii="Arial" w:hAnsi="Arial" w:cs="Arial"/>
                <w:color w:val="FF0000"/>
                <w:szCs w:val="21"/>
                <w:lang w:val="en-US" w:eastAsia="zh-CN"/>
              </w:rPr>
              <w:t>9</w:t>
            </w:r>
            <w:r>
              <w:rPr>
                <w:rFonts w:ascii="Arial" w:hAnsi="Arial" w:cs="Arial"/>
                <w:color w:val="FF0000"/>
                <w:szCs w:val="21"/>
              </w:rPr>
              <w:t>年</w:t>
            </w:r>
            <w:r>
              <w:rPr>
                <w:rFonts w:hint="eastAsia" w:ascii="Arial" w:hAnsi="Arial" w:cs="Arial"/>
                <w:color w:val="FF0000"/>
                <w:szCs w:val="21"/>
                <w:lang w:val="en-US" w:eastAsia="zh-CN"/>
              </w:rPr>
              <w:t>3</w:t>
            </w:r>
            <w:r>
              <w:rPr>
                <w:rFonts w:hint="eastAsia" w:ascii="Arial" w:hAnsi="Arial" w:cs="Arial"/>
                <w:color w:val="FF0000"/>
                <w:szCs w:val="21"/>
              </w:rPr>
              <w:t>月</w:t>
            </w:r>
            <w:r>
              <w:rPr>
                <w:rFonts w:hint="eastAsia" w:ascii="Arial" w:hAnsi="Arial" w:cs="Arial"/>
                <w:color w:val="FF0000"/>
                <w:szCs w:val="21"/>
                <w:lang w:val="en-US" w:eastAsia="zh-CN"/>
              </w:rPr>
              <w:t>30</w:t>
            </w:r>
            <w:r>
              <w:rPr>
                <w:rFonts w:hint="eastAsia" w:ascii="Arial" w:hAnsi="Arial" w:cs="Arial"/>
                <w:color w:val="FF0000"/>
                <w:szCs w:val="21"/>
              </w:rPr>
              <w:t>日前完成</w:t>
            </w:r>
          </w:p>
        </w:tc>
        <w:tc>
          <w:tcPr>
            <w:tcW w:w="2268" w:type="dxa"/>
            <w:tcBorders>
              <w:top w:val="single" w:color="auto" w:sz="4" w:space="0"/>
              <w:left w:val="nil"/>
              <w:bottom w:val="single" w:color="auto" w:sz="4" w:space="0"/>
              <w:right w:val="single" w:color="auto" w:sz="4" w:space="0"/>
            </w:tcBorders>
            <w:vAlign w:val="center"/>
          </w:tcPr>
          <w:p>
            <w:pPr>
              <w:rPr>
                <w:rFonts w:ascii="Arial" w:hAnsi="Arial" w:cs="Arial"/>
                <w:szCs w:val="21"/>
              </w:rPr>
            </w:pPr>
            <w:r>
              <w:rPr>
                <w:rFonts w:hint="eastAsia" w:ascii="Arial" w:hAnsi="Arial" w:cs="Arial"/>
                <w:szCs w:val="21"/>
              </w:rPr>
              <w:t>大型机械设备进场、集装箱、管理人员到位。</w:t>
            </w:r>
          </w:p>
        </w:tc>
      </w:tr>
      <w:tr>
        <w:tblPrEx>
          <w:tblLayout w:type="fixed"/>
          <w:tblCellMar>
            <w:top w:w="0" w:type="dxa"/>
            <w:left w:w="108" w:type="dxa"/>
            <w:bottom w:w="0" w:type="dxa"/>
            <w:right w:w="108" w:type="dxa"/>
          </w:tblCellMar>
        </w:tblPrEx>
        <w:trPr>
          <w:trHeight w:val="560" w:hRule="atLeast"/>
        </w:trPr>
        <w:tc>
          <w:tcPr>
            <w:tcW w:w="721"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cs="Arial"/>
                <w:szCs w:val="21"/>
              </w:rPr>
            </w:pPr>
            <w:r>
              <w:rPr>
                <w:rFonts w:hint="eastAsia" w:ascii="Arial" w:hAnsi="Arial" w:cs="Arial"/>
                <w:szCs w:val="21"/>
              </w:rPr>
              <w:t>2</w:t>
            </w:r>
          </w:p>
        </w:tc>
        <w:tc>
          <w:tcPr>
            <w:tcW w:w="2398" w:type="dxa"/>
            <w:tcBorders>
              <w:top w:val="single" w:color="auto" w:sz="4" w:space="0"/>
              <w:left w:val="nil"/>
              <w:bottom w:val="single" w:color="auto" w:sz="4" w:space="0"/>
              <w:right w:val="single" w:color="auto" w:sz="4" w:space="0"/>
            </w:tcBorders>
            <w:vAlign w:val="center"/>
          </w:tcPr>
          <w:p>
            <w:pPr>
              <w:rPr>
                <w:rFonts w:hint="default" w:ascii="Arial" w:hAnsi="Arial" w:eastAsia="宋体" w:cs="Arial"/>
                <w:szCs w:val="21"/>
                <w:lang w:val="en-US" w:eastAsia="zh-CN"/>
              </w:rPr>
            </w:pPr>
            <w:r>
              <w:rPr>
                <w:rFonts w:hint="eastAsia" w:ascii="Arial" w:hAnsi="Arial" w:cs="Arial"/>
                <w:szCs w:val="21"/>
                <w:lang w:val="en-US" w:eastAsia="zh-CN"/>
              </w:rPr>
              <w:t>首开区完成时间</w:t>
            </w:r>
          </w:p>
        </w:tc>
        <w:tc>
          <w:tcPr>
            <w:tcW w:w="3260" w:type="dxa"/>
            <w:tcBorders>
              <w:top w:val="single" w:color="auto" w:sz="4" w:space="0"/>
              <w:left w:val="nil"/>
              <w:bottom w:val="single" w:color="auto" w:sz="4" w:space="0"/>
              <w:right w:val="single" w:color="auto" w:sz="4" w:space="0"/>
            </w:tcBorders>
            <w:vAlign w:val="center"/>
          </w:tcPr>
          <w:p>
            <w:pPr>
              <w:rPr>
                <w:rFonts w:ascii="Arial" w:hAnsi="Arial" w:cs="Arial"/>
                <w:color w:val="FF0000"/>
                <w:szCs w:val="21"/>
              </w:rPr>
            </w:pPr>
            <w:r>
              <w:rPr>
                <w:rFonts w:hint="eastAsia" w:ascii="Arial" w:hAnsi="Arial" w:cs="Arial"/>
                <w:color w:val="FF0000"/>
                <w:szCs w:val="21"/>
              </w:rPr>
              <w:t>2</w:t>
            </w:r>
            <w:r>
              <w:rPr>
                <w:rFonts w:ascii="Arial" w:hAnsi="Arial" w:cs="Arial"/>
                <w:color w:val="FF0000"/>
                <w:szCs w:val="21"/>
              </w:rPr>
              <w:t>01</w:t>
            </w:r>
            <w:r>
              <w:rPr>
                <w:rFonts w:hint="eastAsia" w:ascii="Arial" w:hAnsi="Arial" w:cs="Arial"/>
                <w:color w:val="FF0000"/>
                <w:szCs w:val="21"/>
                <w:lang w:val="en-US" w:eastAsia="zh-CN"/>
              </w:rPr>
              <w:t>9</w:t>
            </w:r>
            <w:r>
              <w:rPr>
                <w:rFonts w:ascii="Arial" w:hAnsi="Arial" w:cs="Arial"/>
                <w:color w:val="FF0000"/>
                <w:szCs w:val="21"/>
              </w:rPr>
              <w:t>年</w:t>
            </w:r>
            <w:r>
              <w:rPr>
                <w:rFonts w:hint="eastAsia" w:ascii="Arial" w:hAnsi="Arial" w:cs="Arial"/>
                <w:color w:val="FF0000"/>
                <w:szCs w:val="21"/>
                <w:lang w:val="en-US" w:eastAsia="zh-CN"/>
              </w:rPr>
              <w:t>4</w:t>
            </w:r>
            <w:r>
              <w:rPr>
                <w:rFonts w:hint="eastAsia" w:ascii="Arial" w:hAnsi="Arial" w:cs="Arial"/>
                <w:color w:val="FF0000"/>
                <w:szCs w:val="21"/>
              </w:rPr>
              <w:t>月</w:t>
            </w:r>
            <w:r>
              <w:rPr>
                <w:rFonts w:hint="eastAsia" w:ascii="Arial" w:hAnsi="Arial" w:cs="Arial"/>
                <w:color w:val="FF0000"/>
                <w:szCs w:val="21"/>
                <w:lang w:val="en-US" w:eastAsia="zh-CN"/>
              </w:rPr>
              <w:t>10</w:t>
            </w:r>
            <w:r>
              <w:rPr>
                <w:rFonts w:hint="eastAsia" w:ascii="Arial" w:hAnsi="Arial" w:cs="Arial"/>
                <w:color w:val="FF0000"/>
                <w:szCs w:val="21"/>
              </w:rPr>
              <w:t>日前完成</w:t>
            </w:r>
          </w:p>
        </w:tc>
        <w:tc>
          <w:tcPr>
            <w:tcW w:w="2268" w:type="dxa"/>
            <w:tcBorders>
              <w:top w:val="single" w:color="auto" w:sz="4" w:space="0"/>
              <w:left w:val="nil"/>
              <w:bottom w:val="single" w:color="auto" w:sz="4" w:space="0"/>
              <w:right w:val="single" w:color="auto" w:sz="4" w:space="0"/>
            </w:tcBorders>
            <w:vAlign w:val="center"/>
          </w:tcPr>
          <w:p>
            <w:pPr>
              <w:rPr>
                <w:rFonts w:ascii="Arial" w:hAnsi="Arial" w:cs="Arial"/>
                <w:szCs w:val="21"/>
              </w:rPr>
            </w:pPr>
          </w:p>
        </w:tc>
      </w:tr>
      <w:tr>
        <w:tblPrEx>
          <w:tblLayout w:type="fixed"/>
          <w:tblCellMar>
            <w:top w:w="0" w:type="dxa"/>
            <w:left w:w="108" w:type="dxa"/>
            <w:bottom w:w="0" w:type="dxa"/>
            <w:right w:w="108" w:type="dxa"/>
          </w:tblCellMar>
        </w:tblPrEx>
        <w:trPr>
          <w:trHeight w:val="405" w:hRule="atLeast"/>
        </w:trPr>
        <w:tc>
          <w:tcPr>
            <w:tcW w:w="72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Arial" w:hAnsi="Arial" w:eastAsia="宋体" w:cs="Arial"/>
                <w:szCs w:val="21"/>
                <w:lang w:eastAsia="zh-CN"/>
              </w:rPr>
            </w:pPr>
            <w:r>
              <w:rPr>
                <w:rFonts w:hint="eastAsia" w:ascii="Arial" w:hAnsi="Arial" w:cs="Arial"/>
                <w:szCs w:val="21"/>
                <w:lang w:val="en-US" w:eastAsia="zh-CN"/>
              </w:rPr>
              <w:t>3</w:t>
            </w:r>
          </w:p>
        </w:tc>
        <w:tc>
          <w:tcPr>
            <w:tcW w:w="2398" w:type="dxa"/>
            <w:tcBorders>
              <w:top w:val="single" w:color="auto" w:sz="4" w:space="0"/>
              <w:left w:val="nil"/>
              <w:bottom w:val="single" w:color="auto" w:sz="4" w:space="0"/>
              <w:right w:val="single" w:color="auto" w:sz="4" w:space="0"/>
            </w:tcBorders>
            <w:vAlign w:val="center"/>
          </w:tcPr>
          <w:p>
            <w:pPr>
              <w:rPr>
                <w:rFonts w:ascii="Arial" w:hAnsi="Arial" w:cs="Arial"/>
                <w:szCs w:val="21"/>
              </w:rPr>
            </w:pPr>
            <w:r>
              <w:rPr>
                <w:rFonts w:hint="eastAsia" w:ascii="Arial" w:hAnsi="Arial" w:cs="Arial"/>
                <w:szCs w:val="21"/>
              </w:rPr>
              <w:t>土石方工程</w:t>
            </w:r>
          </w:p>
        </w:tc>
        <w:tc>
          <w:tcPr>
            <w:tcW w:w="3260" w:type="dxa"/>
            <w:tcBorders>
              <w:top w:val="single" w:color="auto" w:sz="4" w:space="0"/>
              <w:left w:val="nil"/>
              <w:bottom w:val="single" w:color="auto" w:sz="4" w:space="0"/>
              <w:right w:val="single" w:color="auto" w:sz="4" w:space="0"/>
            </w:tcBorders>
            <w:vAlign w:val="center"/>
          </w:tcPr>
          <w:p>
            <w:pPr>
              <w:rPr>
                <w:rFonts w:hint="eastAsia" w:ascii="Arial" w:hAnsi="Arial" w:cs="Arial"/>
                <w:szCs w:val="21"/>
              </w:rPr>
            </w:pPr>
            <w:r>
              <w:rPr>
                <w:rFonts w:hint="eastAsia" w:ascii="Arial" w:hAnsi="Arial" w:cs="Arial"/>
                <w:szCs w:val="21"/>
                <w:lang w:eastAsia="zh-CN"/>
              </w:rPr>
              <w:t>北</w:t>
            </w:r>
            <w:r>
              <w:rPr>
                <w:rFonts w:hint="eastAsia" w:ascii="Arial" w:hAnsi="Arial" w:cs="Arial"/>
                <w:szCs w:val="21"/>
              </w:rPr>
              <w:t>地块</w:t>
            </w:r>
            <w:r>
              <w:rPr>
                <w:rFonts w:hint="eastAsia" w:ascii="Arial" w:hAnsi="Arial" w:cs="Arial"/>
                <w:szCs w:val="21"/>
                <w:lang w:eastAsia="zh-CN"/>
              </w:rPr>
              <w:t>包含</w:t>
            </w:r>
            <w:r>
              <w:rPr>
                <w:rFonts w:hint="eastAsia" w:ascii="Arial" w:hAnsi="Arial" w:cs="Arial"/>
                <w:szCs w:val="21"/>
              </w:rPr>
              <w:t>销售示范区共</w:t>
            </w:r>
            <w:r>
              <w:rPr>
                <w:rFonts w:hint="eastAsia" w:ascii="Arial" w:hAnsi="Arial" w:cs="Arial"/>
                <w:szCs w:val="21"/>
                <w:lang w:val="en-US" w:eastAsia="zh-CN"/>
              </w:rPr>
              <w:t>6</w:t>
            </w:r>
            <w:r>
              <w:rPr>
                <w:rFonts w:hint="eastAsia" w:ascii="Arial" w:hAnsi="Arial" w:cs="Arial"/>
                <w:szCs w:val="21"/>
              </w:rPr>
              <w:t>0个日历天</w:t>
            </w:r>
          </w:p>
        </w:tc>
        <w:tc>
          <w:tcPr>
            <w:tcW w:w="2268" w:type="dxa"/>
            <w:tcBorders>
              <w:top w:val="single" w:color="auto" w:sz="4" w:space="0"/>
              <w:left w:val="nil"/>
              <w:bottom w:val="single" w:color="auto" w:sz="4" w:space="0"/>
              <w:right w:val="single" w:color="auto" w:sz="4" w:space="0"/>
            </w:tcBorders>
            <w:vAlign w:val="center"/>
          </w:tcPr>
          <w:p>
            <w:pPr>
              <w:rPr>
                <w:rFonts w:ascii="Arial" w:hAnsi="Arial" w:cs="Arial"/>
                <w:szCs w:val="21"/>
              </w:rPr>
            </w:pPr>
            <w:r>
              <w:rPr>
                <w:rFonts w:hint="eastAsia" w:ascii="Arial" w:hAnsi="Arial" w:cs="Arial"/>
                <w:szCs w:val="21"/>
              </w:rPr>
              <w:t>达到图纸设计要求、移交总包标准。</w:t>
            </w:r>
          </w:p>
        </w:tc>
      </w:tr>
    </w:tbl>
    <w:p>
      <w:pPr>
        <w:widowControl/>
        <w:tabs>
          <w:tab w:val="left" w:pos="1276"/>
        </w:tabs>
        <w:spacing w:line="360" w:lineRule="auto"/>
        <w:rPr>
          <w:rFonts w:hint="eastAsia" w:ascii="宋体" w:hAnsi="宋体" w:cs="Arial"/>
          <w:sz w:val="24"/>
          <w:u w:val="single"/>
          <w:lang w:val="zh-CN"/>
        </w:rPr>
      </w:pPr>
    </w:p>
    <w:p>
      <w:pPr>
        <w:widowControl/>
        <w:tabs>
          <w:tab w:val="left" w:pos="1276"/>
        </w:tabs>
        <w:spacing w:line="360" w:lineRule="auto"/>
        <w:ind w:left="1275" w:leftChars="606" w:hanging="2"/>
        <w:rPr>
          <w:rFonts w:ascii="宋体" w:hAnsi="宋体" w:cs="Arial"/>
          <w:sz w:val="24"/>
          <w:u w:val="single"/>
          <w:lang w:val="zh-CN"/>
        </w:rPr>
      </w:pPr>
    </w:p>
    <w:p>
      <w:pPr>
        <w:pStyle w:val="10"/>
        <w:numPr>
          <w:ilvl w:val="0"/>
          <w:numId w:val="0"/>
        </w:numPr>
        <w:spacing w:before="0" w:after="0" w:line="360" w:lineRule="auto"/>
        <w:rPr>
          <w:b w:val="0"/>
          <w:szCs w:val="24"/>
        </w:rPr>
      </w:pPr>
      <w:bookmarkStart w:id="140" w:name="_Toc465441655"/>
      <w:bookmarkStart w:id="141" w:name="_Toc118634712"/>
      <w:bookmarkStart w:id="142" w:name="_Toc357782002"/>
      <w:r>
        <w:rPr>
          <w:b w:val="0"/>
          <w:szCs w:val="24"/>
        </w:rPr>
        <w:t>9.5 拖期违约赔偿</w:t>
      </w:r>
      <w:bookmarkEnd w:id="140"/>
      <w:bookmarkEnd w:id="141"/>
      <w:bookmarkEnd w:id="142"/>
    </w:p>
    <w:p>
      <w:pPr>
        <w:pStyle w:val="11"/>
        <w:spacing w:after="0"/>
        <w:ind w:left="170" w:leftChars="81"/>
        <w:rPr>
          <w:rFonts w:ascii="宋体" w:hAnsi="宋体"/>
        </w:rPr>
      </w:pPr>
      <w:bookmarkStart w:id="143" w:name="_Toc78944699"/>
      <w:bookmarkStart w:id="144" w:name="_Toc89406056"/>
      <w:bookmarkStart w:id="145" w:name="_Toc465441656"/>
      <w:bookmarkStart w:id="146" w:name="_Toc122080380"/>
      <w:bookmarkStart w:id="147" w:name="_Toc168739654"/>
      <w:r>
        <w:rPr>
          <w:rFonts w:ascii="宋体" w:hAnsi="宋体"/>
        </w:rPr>
        <w:t>9.5.1</w:t>
      </w:r>
    </w:p>
    <w:p>
      <w:pPr>
        <w:pStyle w:val="11"/>
        <w:spacing w:after="0"/>
        <w:rPr>
          <w:rFonts w:ascii="宋体" w:hAnsi="宋体" w:cs="Arial"/>
          <w:lang w:val="zh-CN"/>
        </w:rPr>
      </w:pPr>
      <w:r>
        <w:rPr>
          <w:rFonts w:ascii="宋体" w:hAnsi="宋体" w:cs="Arial"/>
          <w:lang w:val="zh-CN"/>
        </w:rPr>
        <w:t>（1）承包人若拖延合同约定的阶段节点工期，则每拖延一天支付违约金</w:t>
      </w:r>
      <w:r>
        <w:rPr>
          <w:rFonts w:ascii="宋体" w:hAnsi="宋体" w:cs="Arial"/>
          <w:u w:val="single"/>
          <w:lang w:val="zh-CN"/>
        </w:rPr>
        <w:t xml:space="preserve">  5000 </w:t>
      </w:r>
      <w:r>
        <w:rPr>
          <w:rFonts w:ascii="宋体" w:hAnsi="宋体" w:cs="Arial"/>
          <w:lang w:val="zh-CN"/>
        </w:rPr>
        <w:t>元。</w:t>
      </w:r>
    </w:p>
    <w:p>
      <w:pPr>
        <w:spacing w:line="360" w:lineRule="auto"/>
        <w:rPr>
          <w:rFonts w:ascii="宋体" w:hAnsi="宋体" w:cs="Arial"/>
          <w:sz w:val="24"/>
          <w:lang w:val="zh-CN"/>
        </w:rPr>
      </w:pPr>
      <w:r>
        <w:rPr>
          <w:rFonts w:ascii="宋体" w:hAnsi="宋体" w:cs="Arial"/>
          <w:sz w:val="24"/>
          <w:lang w:val="zh-CN"/>
        </w:rPr>
        <w:t>（2）若承包人拖延总工期，则每拖延一天支付违约金</w:t>
      </w:r>
      <w:r>
        <w:rPr>
          <w:rFonts w:ascii="宋体" w:hAnsi="宋体" w:cs="Arial"/>
          <w:sz w:val="24"/>
          <w:u w:val="single"/>
          <w:lang w:val="zh-CN"/>
        </w:rPr>
        <w:t>10</w:t>
      </w:r>
      <w:r>
        <w:rPr>
          <w:rFonts w:hint="eastAsia" w:ascii="宋体" w:hAnsi="宋体" w:cs="Arial"/>
          <w:sz w:val="24"/>
          <w:u w:val="single"/>
          <w:lang w:val="zh-CN"/>
        </w:rPr>
        <w:t>000</w:t>
      </w:r>
      <w:r>
        <w:rPr>
          <w:rFonts w:ascii="宋体" w:hAnsi="宋体" w:cs="Arial"/>
          <w:sz w:val="24"/>
          <w:lang w:val="zh-CN"/>
        </w:rPr>
        <w:t>元。</w:t>
      </w:r>
    </w:p>
    <w:p>
      <w:pPr>
        <w:spacing w:line="360" w:lineRule="auto"/>
        <w:rPr>
          <w:rFonts w:hint="eastAsia" w:ascii="宋体" w:hAnsi="宋体" w:cs="Arial"/>
          <w:sz w:val="24"/>
          <w:lang w:val="zh-CN"/>
        </w:rPr>
      </w:pPr>
      <w:r>
        <w:rPr>
          <w:rFonts w:ascii="宋体" w:hAnsi="宋体" w:cs="Arial"/>
          <w:sz w:val="24"/>
          <w:lang w:val="zh-CN"/>
        </w:rPr>
        <w:t>（3）如承包人拖延总工期的同时，另有拖延阶段节点工期情形的，应按本合同约定的拖延不同工期的违约金标准分别支付违约金。</w:t>
      </w:r>
    </w:p>
    <w:p>
      <w:pPr>
        <w:pStyle w:val="2"/>
        <w:spacing w:before="0" w:after="0" w:line="360" w:lineRule="auto"/>
        <w:rPr>
          <w:b/>
          <w:sz w:val="24"/>
          <w:szCs w:val="24"/>
        </w:rPr>
      </w:pPr>
      <w:r>
        <w:rPr>
          <w:b/>
          <w:sz w:val="24"/>
          <w:szCs w:val="24"/>
        </w:rPr>
        <w:t>10、工程质量</w:t>
      </w:r>
      <w:bookmarkEnd w:id="143"/>
      <w:bookmarkEnd w:id="144"/>
      <w:bookmarkEnd w:id="145"/>
      <w:bookmarkEnd w:id="146"/>
      <w:bookmarkEnd w:id="147"/>
    </w:p>
    <w:p>
      <w:pPr>
        <w:pStyle w:val="10"/>
        <w:numPr>
          <w:ilvl w:val="0"/>
          <w:numId w:val="0"/>
        </w:numPr>
        <w:spacing w:before="0" w:after="0" w:line="360" w:lineRule="auto"/>
        <w:rPr>
          <w:b w:val="0"/>
          <w:szCs w:val="24"/>
        </w:rPr>
      </w:pPr>
      <w:bookmarkStart w:id="148" w:name="_Toc168739655"/>
      <w:bookmarkStart w:id="149" w:name="_Toc89406057"/>
      <w:bookmarkStart w:id="150" w:name="_Toc122080381"/>
      <w:bookmarkStart w:id="151" w:name="_Toc465441657"/>
      <w:bookmarkStart w:id="152" w:name="_Toc78944700"/>
      <w:r>
        <w:rPr>
          <w:b w:val="0"/>
          <w:szCs w:val="24"/>
        </w:rPr>
        <w:t>10.1 工程质量、技术要求</w:t>
      </w:r>
      <w:bookmarkEnd w:id="148"/>
      <w:bookmarkEnd w:id="149"/>
      <w:bookmarkEnd w:id="150"/>
      <w:bookmarkEnd w:id="151"/>
      <w:bookmarkEnd w:id="152"/>
    </w:p>
    <w:p>
      <w:pPr>
        <w:pStyle w:val="11"/>
        <w:ind w:left="-15" w:leftChars="-7" w:firstLine="374" w:firstLineChars="156"/>
        <w:rPr>
          <w:u w:val="single"/>
        </w:rPr>
      </w:pPr>
      <w:bookmarkStart w:id="153" w:name="_Toc78944701"/>
      <w:bookmarkStart w:id="154" w:name="_Toc89406058"/>
      <w:r>
        <w:t>10.1.1 本工程的质量等级要求：</w:t>
      </w:r>
      <w:r>
        <w:rPr>
          <w:u w:val="single"/>
        </w:rPr>
        <w:t xml:space="preserve">  </w:t>
      </w:r>
      <w:r>
        <w:rPr>
          <w:rFonts w:hint="eastAsia"/>
          <w:u w:val="single"/>
        </w:rPr>
        <w:t>施工质量 合格 （质量标准的评定以现行国家、地方政府、行业及发包人的质量检验评定标准、合同要求为依据），</w:t>
      </w:r>
      <w:r>
        <w:t>详见</w:t>
      </w:r>
      <w:r>
        <w:rPr>
          <w:b/>
        </w:rPr>
        <w:t>《</w:t>
      </w:r>
      <w:r>
        <w:rPr>
          <w:rFonts w:hint="eastAsia"/>
          <w:b/>
        </w:rPr>
        <w:t>工程建设</w:t>
      </w:r>
      <w:r>
        <w:rPr>
          <w:b/>
        </w:rPr>
        <w:t>标准、工程</w:t>
      </w:r>
      <w:r>
        <w:rPr>
          <w:rFonts w:hint="eastAsia"/>
          <w:b/>
        </w:rPr>
        <w:t>规范</w:t>
      </w:r>
      <w:r>
        <w:rPr>
          <w:b/>
        </w:rPr>
        <w:t>》。</w:t>
      </w:r>
    </w:p>
    <w:p>
      <w:pPr>
        <w:pStyle w:val="11"/>
        <w:ind w:left="-15" w:leftChars="-7" w:firstLine="374" w:firstLineChars="156"/>
        <w:rPr>
          <w:u w:val="single"/>
        </w:rPr>
      </w:pPr>
      <w:r>
        <w:t xml:space="preserve">      本工程质量等级不符合约定的处理：</w:t>
      </w:r>
      <w:r>
        <w:rPr>
          <w:u w:val="single"/>
        </w:rPr>
        <w:t>详见专用条款17.1.1的相关约定</w:t>
      </w:r>
      <w:r>
        <w:t>。</w:t>
      </w:r>
    </w:p>
    <w:bookmarkEnd w:id="153"/>
    <w:bookmarkEnd w:id="154"/>
    <w:p>
      <w:pPr>
        <w:pStyle w:val="2"/>
        <w:spacing w:before="0" w:after="0" w:line="360" w:lineRule="auto"/>
        <w:rPr>
          <w:b/>
          <w:sz w:val="24"/>
          <w:szCs w:val="24"/>
        </w:rPr>
      </w:pPr>
      <w:bookmarkStart w:id="155" w:name="_Toc78944702"/>
      <w:bookmarkStart w:id="156" w:name="_Toc122080383"/>
      <w:bookmarkStart w:id="157" w:name="_Toc89406059"/>
      <w:bookmarkStart w:id="158" w:name="_Toc168739657"/>
      <w:bookmarkStart w:id="159" w:name="_Toc465441658"/>
      <w:r>
        <w:rPr>
          <w:b/>
          <w:sz w:val="24"/>
          <w:szCs w:val="24"/>
        </w:rPr>
        <w:t>11、现场管理</w:t>
      </w:r>
      <w:bookmarkEnd w:id="155"/>
      <w:bookmarkEnd w:id="156"/>
      <w:bookmarkEnd w:id="157"/>
      <w:bookmarkEnd w:id="158"/>
      <w:bookmarkEnd w:id="159"/>
    </w:p>
    <w:p>
      <w:pPr>
        <w:pStyle w:val="10"/>
        <w:numPr>
          <w:ilvl w:val="0"/>
          <w:numId w:val="0"/>
        </w:numPr>
        <w:spacing w:before="0" w:after="0" w:line="360" w:lineRule="auto"/>
        <w:rPr>
          <w:b w:val="0"/>
          <w:szCs w:val="24"/>
        </w:rPr>
      </w:pPr>
      <w:bookmarkStart w:id="160" w:name="_Toc78944703"/>
      <w:bookmarkStart w:id="161" w:name="_Toc89406060"/>
      <w:bookmarkStart w:id="162" w:name="_Toc465441659"/>
      <w:bookmarkStart w:id="163" w:name="_Toc122080384"/>
      <w:bookmarkStart w:id="164" w:name="_Toc168739658"/>
      <w:r>
        <w:rPr>
          <w:b w:val="0"/>
          <w:szCs w:val="24"/>
        </w:rPr>
        <w:t>11.1 现场安全</w:t>
      </w:r>
      <w:bookmarkEnd w:id="160"/>
      <w:bookmarkEnd w:id="161"/>
      <w:r>
        <w:rPr>
          <w:b w:val="0"/>
          <w:szCs w:val="24"/>
        </w:rPr>
        <w:t>、文明施工</w:t>
      </w:r>
      <w:bookmarkEnd w:id="162"/>
      <w:bookmarkEnd w:id="163"/>
      <w:bookmarkEnd w:id="164"/>
    </w:p>
    <w:p>
      <w:pPr>
        <w:pStyle w:val="11"/>
        <w:spacing w:after="0"/>
        <w:ind w:left="-2" w:leftChars="-1" w:firstLine="391" w:firstLineChars="163"/>
        <w:rPr>
          <w:rFonts w:hint="eastAsia"/>
        </w:rPr>
      </w:pPr>
      <w:bookmarkStart w:id="165" w:name="_Toc78944704"/>
      <w:r>
        <w:t>11.1.1发包人对本工程的安全文明施工要求：</w:t>
      </w:r>
      <w:r>
        <w:rPr>
          <w:rFonts w:hint="eastAsia"/>
        </w:rPr>
        <w:t>配合总包</w:t>
      </w:r>
      <w:r>
        <w:rPr>
          <w:rFonts w:hint="eastAsia"/>
          <w:u w:val="single"/>
        </w:rPr>
        <w:t>取得</w:t>
      </w:r>
      <w:r>
        <w:rPr>
          <w:rFonts w:hint="eastAsia"/>
          <w:u w:val="single"/>
          <w:lang w:val="en-US" w:eastAsia="zh-CN"/>
        </w:rPr>
        <w:t>重庆</w:t>
      </w:r>
      <w:r>
        <w:rPr>
          <w:rFonts w:hint="eastAsia"/>
          <w:u w:val="single"/>
        </w:rPr>
        <w:t>市安全文明工地并满足</w:t>
      </w:r>
      <w:r>
        <w:rPr>
          <w:rFonts w:hint="eastAsia"/>
          <w:u w:val="single"/>
          <w:lang w:val="en-US" w:eastAsia="zh-CN"/>
        </w:rPr>
        <w:t>新华立</w:t>
      </w:r>
      <w:r>
        <w:rPr>
          <w:rFonts w:hint="eastAsia"/>
          <w:u w:val="single"/>
        </w:rPr>
        <w:t>集团技术标准中关于安全文明的要求，且满足发包人对现场文明施工要求的相关规定</w:t>
      </w:r>
      <w:r>
        <w:t>。</w:t>
      </w:r>
    </w:p>
    <w:bookmarkEnd w:id="165"/>
    <w:p>
      <w:pPr>
        <w:pStyle w:val="2"/>
        <w:spacing w:before="0" w:after="0" w:line="360" w:lineRule="auto"/>
        <w:rPr>
          <w:b/>
          <w:sz w:val="24"/>
          <w:szCs w:val="24"/>
        </w:rPr>
      </w:pPr>
      <w:bookmarkStart w:id="166" w:name="_Toc122080386"/>
      <w:bookmarkStart w:id="167" w:name="_Toc168739660"/>
      <w:bookmarkStart w:id="168" w:name="_Toc465441660"/>
      <w:bookmarkStart w:id="169" w:name="_Toc78944713"/>
      <w:bookmarkStart w:id="170" w:name="_Toc89406070"/>
      <w:r>
        <w:rPr>
          <w:b/>
          <w:sz w:val="24"/>
          <w:szCs w:val="24"/>
        </w:rPr>
        <w:t>12、验收和移交</w:t>
      </w:r>
      <w:bookmarkEnd w:id="166"/>
      <w:bookmarkEnd w:id="167"/>
      <w:bookmarkEnd w:id="168"/>
      <w:bookmarkEnd w:id="169"/>
      <w:bookmarkEnd w:id="170"/>
    </w:p>
    <w:p>
      <w:pPr>
        <w:pStyle w:val="10"/>
        <w:numPr>
          <w:ilvl w:val="0"/>
          <w:numId w:val="0"/>
        </w:numPr>
        <w:spacing w:before="0" w:after="0" w:line="360" w:lineRule="auto"/>
        <w:rPr>
          <w:b w:val="0"/>
          <w:szCs w:val="24"/>
        </w:rPr>
      </w:pPr>
      <w:bookmarkStart w:id="171" w:name="_Toc78944714"/>
      <w:bookmarkStart w:id="172" w:name="_Toc89406071"/>
      <w:bookmarkStart w:id="173" w:name="_Toc122080387"/>
      <w:bookmarkStart w:id="174" w:name="_Toc465441661"/>
      <w:bookmarkStart w:id="175" w:name="_Toc168739661"/>
      <w:r>
        <w:rPr>
          <w:b w:val="0"/>
          <w:szCs w:val="24"/>
        </w:rPr>
        <w:t xml:space="preserve">12.1 </w:t>
      </w:r>
      <w:r>
        <w:rPr>
          <w:rFonts w:hint="eastAsia"/>
          <w:b w:val="0"/>
          <w:szCs w:val="24"/>
        </w:rPr>
        <w:t>工程</w:t>
      </w:r>
      <w:r>
        <w:rPr>
          <w:b w:val="0"/>
          <w:szCs w:val="24"/>
        </w:rPr>
        <w:t>验收</w:t>
      </w:r>
      <w:bookmarkEnd w:id="171"/>
      <w:bookmarkEnd w:id="172"/>
      <w:bookmarkEnd w:id="173"/>
      <w:bookmarkEnd w:id="174"/>
      <w:bookmarkEnd w:id="175"/>
    </w:p>
    <w:p>
      <w:pPr>
        <w:pStyle w:val="11"/>
        <w:spacing w:after="0"/>
        <w:ind w:left="1079" w:leftChars="228" w:hanging="600" w:hangingChars="250"/>
        <w:rPr>
          <w:rFonts w:hint="eastAsia"/>
        </w:rPr>
      </w:pPr>
      <w:r>
        <w:rPr>
          <w:rFonts w:hint="eastAsia"/>
        </w:rPr>
        <w:t>12.1.1工程</w:t>
      </w:r>
      <w:r>
        <w:t>验收日期的确定</w:t>
      </w:r>
      <w:r>
        <w:rPr>
          <w:rFonts w:hint="eastAsia"/>
        </w:rPr>
        <w:t>：</w:t>
      </w:r>
      <w:r>
        <w:rPr>
          <w:u w:val="single"/>
        </w:rPr>
        <w:t>以工程</w:t>
      </w:r>
      <w:r>
        <w:rPr>
          <w:rFonts w:hint="eastAsia"/>
          <w:u w:val="single"/>
        </w:rPr>
        <w:t>验收</w:t>
      </w:r>
      <w:r>
        <w:rPr>
          <w:u w:val="single"/>
        </w:rPr>
        <w:t>完成</w:t>
      </w:r>
      <w:r>
        <w:rPr>
          <w:rFonts w:hint="eastAsia"/>
          <w:u w:val="single"/>
        </w:rPr>
        <w:t>，</w:t>
      </w:r>
      <w:r>
        <w:rPr>
          <w:u w:val="single"/>
        </w:rPr>
        <w:t>甲方颁布验收证明之日为准。</w:t>
      </w:r>
    </w:p>
    <w:p>
      <w:pPr>
        <w:pStyle w:val="11"/>
        <w:spacing w:after="0"/>
        <w:ind w:firstLine="1200" w:firstLineChars="500"/>
        <w:rPr>
          <w:u w:val="single"/>
        </w:rPr>
      </w:pPr>
      <w:r>
        <w:t>竣工日期的确定：</w:t>
      </w:r>
      <w:r>
        <w:rPr>
          <w:u w:val="single"/>
        </w:rPr>
        <w:t>以工程移交之日为准。</w:t>
      </w:r>
    </w:p>
    <w:p>
      <w:pPr>
        <w:pStyle w:val="11"/>
        <w:spacing w:after="0"/>
        <w:ind w:firstLine="1200" w:firstLineChars="500"/>
      </w:pPr>
      <w:r>
        <w:t>承包人提供竣工资料的约定：</w:t>
      </w:r>
      <w:r>
        <w:rPr>
          <w:u w:val="single"/>
        </w:rPr>
        <w:t xml:space="preserve"> 竣工图及电子光盘各3套。</w:t>
      </w:r>
    </w:p>
    <w:p>
      <w:pPr>
        <w:pStyle w:val="11"/>
        <w:spacing w:after="0"/>
        <w:ind w:left="-2" w:firstLine="434" w:firstLineChars="181"/>
        <w:rPr>
          <w:u w:val="single"/>
        </w:rPr>
      </w:pPr>
      <w:r>
        <w:t>12.1.2 单项工程交工验收的约定：</w:t>
      </w:r>
      <w:r>
        <w:rPr>
          <w:rFonts w:hint="eastAsia"/>
          <w:u w:val="single"/>
        </w:rPr>
        <w:t>全部工程验收合格</w:t>
      </w:r>
      <w:r>
        <w:rPr>
          <w:u w:val="single"/>
        </w:rPr>
        <w:t>。</w:t>
      </w:r>
    </w:p>
    <w:p>
      <w:pPr>
        <w:pStyle w:val="11"/>
        <w:spacing w:after="0"/>
        <w:ind w:left="402"/>
      </w:pPr>
      <w:r>
        <w:rPr>
          <w:rFonts w:hint="eastAsia"/>
        </w:rPr>
        <w:t>12.1.3</w:t>
      </w:r>
      <w:r>
        <w:t>经发包人组织验收认为符合本合同规定的质量标准，则自验收结束之日起二周以内，承包人将工程移交给发包人，撤出全部临建、施工人员、机械设备和剩余材料（除收尾工程所需的以外），并将所有承包范围内的工程清理干净。如承包人不能及拆除或清理，对于占用的面积发包人将收取每平米每天</w:t>
      </w:r>
      <w:r>
        <w:rPr>
          <w:rFonts w:hint="eastAsia"/>
          <w:u w:val="single"/>
        </w:rPr>
        <w:t xml:space="preserve"> 30</w:t>
      </w:r>
      <w:r>
        <w:t>元的租金，并有权派人强行拆除并清理，造成的费用及责任均由承包人承担。</w:t>
      </w:r>
    </w:p>
    <w:p>
      <w:pPr>
        <w:pStyle w:val="11"/>
        <w:spacing w:after="0"/>
        <w:ind w:left="402"/>
      </w:pPr>
      <w:r>
        <w:rPr>
          <w:rFonts w:hint="eastAsia"/>
        </w:rPr>
        <w:t>12.1.4</w:t>
      </w:r>
      <w:r>
        <w:t>如承包人原因，工程未按合同工期完成，发包人有权采取任何形式委托其它单位完成，相关费用及责任由承包人承担。</w:t>
      </w:r>
    </w:p>
    <w:p>
      <w:pPr>
        <w:pStyle w:val="2"/>
        <w:spacing w:before="120" w:after="0" w:line="360" w:lineRule="auto"/>
        <w:rPr>
          <w:b/>
          <w:sz w:val="24"/>
          <w:szCs w:val="24"/>
        </w:rPr>
      </w:pPr>
      <w:bookmarkStart w:id="176" w:name="_Toc122080389"/>
      <w:bookmarkStart w:id="177" w:name="_Toc89406080"/>
      <w:bookmarkStart w:id="178" w:name="_Toc168739663"/>
      <w:bookmarkStart w:id="179" w:name="_Toc78944723"/>
      <w:bookmarkStart w:id="180" w:name="_Toc465441662"/>
      <w:r>
        <w:rPr>
          <w:b/>
          <w:sz w:val="24"/>
          <w:szCs w:val="24"/>
        </w:rPr>
        <w:t>13、工程质量保修</w:t>
      </w:r>
      <w:bookmarkEnd w:id="176"/>
      <w:bookmarkEnd w:id="177"/>
      <w:bookmarkEnd w:id="178"/>
      <w:bookmarkEnd w:id="179"/>
      <w:bookmarkEnd w:id="180"/>
    </w:p>
    <w:p>
      <w:pPr>
        <w:pStyle w:val="10"/>
        <w:numPr>
          <w:ilvl w:val="0"/>
          <w:numId w:val="0"/>
        </w:numPr>
        <w:spacing w:before="0" w:after="0" w:line="360" w:lineRule="auto"/>
        <w:rPr>
          <w:rFonts w:hint="eastAsia"/>
          <w:b w:val="0"/>
          <w:szCs w:val="24"/>
        </w:rPr>
      </w:pPr>
      <w:bookmarkStart w:id="181" w:name="_Toc78944724"/>
      <w:bookmarkStart w:id="182" w:name="_Toc122080390"/>
      <w:bookmarkStart w:id="183" w:name="_Toc465441663"/>
      <w:bookmarkStart w:id="184" w:name="_Toc89406081"/>
      <w:bookmarkStart w:id="185" w:name="_Toc168739664"/>
      <w:r>
        <w:rPr>
          <w:b w:val="0"/>
          <w:szCs w:val="24"/>
        </w:rPr>
        <w:t>13.1 工程质量保修</w:t>
      </w:r>
      <w:bookmarkEnd w:id="181"/>
      <w:bookmarkEnd w:id="182"/>
      <w:bookmarkEnd w:id="183"/>
      <w:bookmarkEnd w:id="184"/>
      <w:bookmarkEnd w:id="185"/>
    </w:p>
    <w:p>
      <w:pPr>
        <w:pStyle w:val="11"/>
        <w:tabs>
          <w:tab w:val="left" w:pos="1440"/>
        </w:tabs>
        <w:spacing w:after="0"/>
        <w:ind w:firstLine="391" w:firstLineChars="163"/>
        <w:rPr>
          <w:rFonts w:hint="eastAsia"/>
        </w:rPr>
      </w:pPr>
      <w:r>
        <w:t>13.1.1工程质量保修金为：</w:t>
      </w:r>
      <w:r>
        <w:rPr>
          <w:u w:val="single"/>
        </w:rPr>
        <w:t>本工程结算价款的</w:t>
      </w:r>
      <w:r>
        <w:rPr>
          <w:rFonts w:hint="eastAsia"/>
          <w:u w:val="single"/>
        </w:rPr>
        <w:t>3</w:t>
      </w:r>
      <w:r>
        <w:rPr>
          <w:u w:val="single"/>
        </w:rPr>
        <w:t>％</w:t>
      </w:r>
      <w:r>
        <w:t>。缺陷保修期及保修金的支付办法：详见工程质量</w:t>
      </w:r>
      <w:r>
        <w:rPr>
          <w:rFonts w:hint="eastAsia"/>
        </w:rPr>
        <w:t>保修协议</w:t>
      </w:r>
      <w:r>
        <w:t>中的相关约定。</w:t>
      </w:r>
    </w:p>
    <w:p>
      <w:pPr>
        <w:pStyle w:val="2"/>
        <w:spacing w:before="0" w:after="0" w:line="360" w:lineRule="auto"/>
        <w:rPr>
          <w:b/>
          <w:sz w:val="24"/>
          <w:szCs w:val="24"/>
        </w:rPr>
      </w:pPr>
      <w:bookmarkStart w:id="186" w:name="_Toc78944706"/>
      <w:bookmarkStart w:id="187" w:name="_Toc89406063"/>
      <w:bookmarkStart w:id="188" w:name="_Toc122080391"/>
      <w:bookmarkStart w:id="189" w:name="_Toc471834438"/>
      <w:bookmarkStart w:id="190" w:name="_Toc168739665"/>
      <w:bookmarkStart w:id="191" w:name="_Toc89406067"/>
      <w:bookmarkStart w:id="192" w:name="_Toc122080396"/>
      <w:bookmarkStart w:id="193" w:name="_Toc78944710"/>
      <w:bookmarkStart w:id="194" w:name="_Toc465441666"/>
      <w:bookmarkStart w:id="195" w:name="_Toc168739670"/>
      <w:r>
        <w:rPr>
          <w:b/>
          <w:sz w:val="24"/>
          <w:szCs w:val="24"/>
        </w:rPr>
        <w:t>14、合同计价、计量</w:t>
      </w:r>
      <w:bookmarkEnd w:id="186"/>
      <w:bookmarkEnd w:id="187"/>
      <w:bookmarkEnd w:id="188"/>
      <w:bookmarkEnd w:id="189"/>
      <w:bookmarkEnd w:id="190"/>
    </w:p>
    <w:p>
      <w:pPr>
        <w:pStyle w:val="10"/>
        <w:numPr>
          <w:ilvl w:val="0"/>
          <w:numId w:val="0"/>
        </w:numPr>
        <w:spacing w:before="0" w:after="0" w:line="360" w:lineRule="auto"/>
        <w:rPr>
          <w:rFonts w:ascii="宋体" w:hAnsi="宋体" w:cs="Arial"/>
          <w:szCs w:val="21"/>
        </w:rPr>
      </w:pPr>
      <w:bookmarkStart w:id="196" w:name="_Toc471834439"/>
      <w:bookmarkStart w:id="197" w:name="_Toc78944708"/>
      <w:bookmarkStart w:id="198" w:name="_Toc89406065"/>
      <w:r>
        <w:rPr>
          <w:rFonts w:ascii="宋体" w:hAnsi="宋体" w:cs="Arial"/>
          <w:szCs w:val="21"/>
        </w:rPr>
        <w:t xml:space="preserve">14.1 </w:t>
      </w:r>
      <w:r>
        <w:rPr>
          <w:rFonts w:hint="eastAsia" w:ascii="宋体" w:hAnsi="宋体" w:cs="Arial"/>
          <w:b w:val="0"/>
          <w:szCs w:val="21"/>
        </w:rPr>
        <w:t>合同价款</w:t>
      </w:r>
      <w:bookmarkEnd w:id="196"/>
    </w:p>
    <w:p>
      <w:pPr>
        <w:spacing w:line="300" w:lineRule="auto"/>
        <w:ind w:left="630" w:hanging="630" w:hangingChars="300"/>
        <w:rPr>
          <w:rFonts w:hint="eastAsia"/>
          <w:sz w:val="24"/>
          <w:u w:val="single"/>
        </w:rPr>
      </w:pPr>
      <w:r>
        <w:rPr>
          <w:rFonts w:hint="eastAsia" w:ascii="宋体" w:hAnsi="宋体" w:cs="Arial"/>
          <w:szCs w:val="21"/>
        </w:rPr>
        <w:t xml:space="preserve">       </w:t>
      </w:r>
      <w:r>
        <w:rPr>
          <w:rFonts w:hint="eastAsia"/>
          <w:sz w:val="24"/>
        </w:rPr>
        <w:t xml:space="preserve">  </w:t>
      </w:r>
      <w:r>
        <w:rPr>
          <w:rFonts w:ascii="Wingdings 2" w:hAnsi="Wingdings 2"/>
          <w:sz w:val="24"/>
        </w:rPr>
        <w:sym w:font="Wingdings 2" w:char="00A3"/>
      </w:r>
      <w:r>
        <w:rPr>
          <w:rFonts w:hint="eastAsia"/>
          <w:sz w:val="24"/>
          <w:u w:val="single"/>
        </w:rPr>
        <w:t>本工程合同采用暂定总价，按照“工程量计算规则及单价说明约定”、“措施费项目清单报价表”、“模拟清单”计算工程量，调整合同总价。</w:t>
      </w:r>
    </w:p>
    <w:p>
      <w:pPr>
        <w:spacing w:line="300" w:lineRule="auto"/>
        <w:ind w:left="630" w:leftChars="300" w:firstLine="480" w:firstLineChars="200"/>
        <w:rPr>
          <w:rFonts w:hint="eastAsia" w:ascii="宋体" w:hAnsi="宋体" w:cs="Arial"/>
          <w:szCs w:val="21"/>
        </w:rPr>
      </w:pPr>
      <w:r>
        <w:rPr>
          <w:rFonts w:hint="eastAsia"/>
          <w:sz w:val="24"/>
        </w:rPr>
        <w:t>□</w:t>
      </w:r>
      <w:r>
        <w:rPr>
          <w:rFonts w:hint="eastAsia"/>
          <w:sz w:val="24"/>
          <w:u w:val="single"/>
        </w:rPr>
        <w:t>本工程合同采用固定总价（图纸包干），</w:t>
      </w:r>
      <w:r>
        <w:rPr>
          <w:rFonts w:hint="eastAsia"/>
          <w:sz w:val="24"/>
        </w:rPr>
        <w:t>采用</w:t>
      </w:r>
      <w:r>
        <w:rPr>
          <w:rFonts w:hint="eastAsia"/>
          <w:sz w:val="24"/>
          <w:u w:val="single"/>
        </w:rPr>
        <w:t>工程量清单计价</w:t>
      </w:r>
      <w:r>
        <w:rPr>
          <w:rFonts w:hint="eastAsia"/>
          <w:sz w:val="24"/>
        </w:rPr>
        <w:t>的方式计价（本项目地块内残留的地上建筑物、构筑物的</w:t>
      </w:r>
      <w:r>
        <w:rPr>
          <w:sz w:val="24"/>
        </w:rPr>
        <w:t>清除及外运处置</w:t>
      </w:r>
      <w:r>
        <w:rPr>
          <w:rFonts w:hint="eastAsia"/>
          <w:sz w:val="24"/>
        </w:rPr>
        <w:t>不计工程量，涉及的费用已由承包人在平基土石方综合包干单价中考虑，</w:t>
      </w:r>
      <w:r>
        <w:rPr>
          <w:sz w:val="24"/>
        </w:rPr>
        <w:t>地块内残留的地下建筑物、构筑物</w:t>
      </w:r>
      <w:r>
        <w:rPr>
          <w:rFonts w:hint="eastAsia"/>
          <w:sz w:val="24"/>
        </w:rPr>
        <w:t>的</w:t>
      </w:r>
      <w:r>
        <w:rPr>
          <w:sz w:val="24"/>
        </w:rPr>
        <w:t>清除及外运处置按照清单中所包括的清除障碍物单价计取，结算时按实结算</w:t>
      </w:r>
      <w:r>
        <w:rPr>
          <w:rFonts w:hint="eastAsia"/>
          <w:sz w:val="24"/>
        </w:rPr>
        <w:t xml:space="preserve">）。 </w:t>
      </w:r>
    </w:p>
    <w:bookmarkEnd w:id="191"/>
    <w:bookmarkEnd w:id="192"/>
    <w:bookmarkEnd w:id="193"/>
    <w:bookmarkEnd w:id="194"/>
    <w:bookmarkEnd w:id="195"/>
    <w:bookmarkEnd w:id="197"/>
    <w:bookmarkEnd w:id="198"/>
    <w:p>
      <w:pPr>
        <w:pStyle w:val="2"/>
        <w:spacing w:before="0" w:after="0" w:line="360" w:lineRule="auto"/>
        <w:rPr>
          <w:b/>
          <w:sz w:val="24"/>
          <w:szCs w:val="24"/>
        </w:rPr>
      </w:pPr>
      <w:bookmarkStart w:id="199" w:name="_Toc471834440"/>
      <w:bookmarkStart w:id="200" w:name="_Toc122080399"/>
      <w:bookmarkStart w:id="201" w:name="_Toc168739673"/>
      <w:bookmarkStart w:id="202" w:name="_Toc465441668"/>
      <w:r>
        <w:rPr>
          <w:b/>
          <w:sz w:val="24"/>
          <w:szCs w:val="24"/>
        </w:rPr>
        <w:t>15、工程变更</w:t>
      </w:r>
      <w:bookmarkEnd w:id="199"/>
    </w:p>
    <w:p>
      <w:pPr>
        <w:pStyle w:val="10"/>
        <w:numPr>
          <w:ilvl w:val="0"/>
          <w:numId w:val="0"/>
        </w:numPr>
        <w:spacing w:before="0" w:after="0" w:line="360" w:lineRule="auto"/>
        <w:rPr>
          <w:b w:val="0"/>
          <w:szCs w:val="24"/>
        </w:rPr>
      </w:pPr>
      <w:bookmarkStart w:id="203" w:name="_Toc78944712"/>
      <w:bookmarkStart w:id="204" w:name="_Toc168739672"/>
      <w:bookmarkStart w:id="205" w:name="_Toc122080398"/>
      <w:bookmarkStart w:id="206" w:name="_Toc89406069"/>
      <w:bookmarkStart w:id="207" w:name="_Toc471834441"/>
      <w:r>
        <w:rPr>
          <w:b w:val="0"/>
          <w:szCs w:val="24"/>
        </w:rPr>
        <w:t>15.2 变更</w:t>
      </w:r>
      <w:r>
        <w:rPr>
          <w:rFonts w:hint="eastAsia"/>
          <w:b w:val="0"/>
          <w:szCs w:val="24"/>
        </w:rPr>
        <w:t>、</w:t>
      </w:r>
      <w:r>
        <w:rPr>
          <w:b w:val="0"/>
          <w:szCs w:val="24"/>
        </w:rPr>
        <w:t>签证价款</w:t>
      </w:r>
      <w:bookmarkEnd w:id="203"/>
      <w:bookmarkEnd w:id="204"/>
      <w:bookmarkEnd w:id="205"/>
      <w:bookmarkEnd w:id="206"/>
      <w:r>
        <w:rPr>
          <w:rFonts w:hint="eastAsia"/>
          <w:b w:val="0"/>
          <w:szCs w:val="24"/>
        </w:rPr>
        <w:t>的确定</w:t>
      </w:r>
      <w:bookmarkEnd w:id="207"/>
    </w:p>
    <w:p>
      <w:pPr>
        <w:pStyle w:val="11"/>
        <w:tabs>
          <w:tab w:val="left" w:pos="1440"/>
        </w:tabs>
        <w:spacing w:after="0"/>
        <w:ind w:left="957" w:leftChars="113" w:hanging="720" w:hangingChars="300"/>
        <w:rPr>
          <w:rFonts w:hint="eastAsia"/>
        </w:rPr>
      </w:pPr>
      <w:r>
        <w:t>15.2.1变更及签证工程量的计量与确定原则：</w:t>
      </w:r>
      <w:r>
        <w:rPr>
          <w:u w:val="single"/>
        </w:rPr>
        <w:t xml:space="preserve">  </w:t>
      </w:r>
      <w:r>
        <w:rPr>
          <w:rFonts w:hint="eastAsia"/>
          <w:u w:val="single"/>
        </w:rPr>
        <w:t>除通用条款外，详见设计变更现场签证管理工作程序及变更签证、一月一清、一单一结实施细则</w:t>
      </w:r>
      <w:r>
        <w:t>。</w:t>
      </w:r>
    </w:p>
    <w:p>
      <w:pPr>
        <w:pStyle w:val="11"/>
        <w:tabs>
          <w:tab w:val="left" w:pos="1440"/>
        </w:tabs>
        <w:spacing w:after="0"/>
        <w:ind w:left="957" w:leftChars="113" w:hanging="720" w:hangingChars="300"/>
        <w:rPr>
          <w:rFonts w:hint="eastAsia"/>
        </w:rPr>
      </w:pPr>
      <w:r>
        <w:rPr>
          <w:rFonts w:hint="eastAsia"/>
        </w:rPr>
        <w:t>15.</w:t>
      </w:r>
      <w:r>
        <w:t>2.2</w:t>
      </w:r>
      <w:r>
        <w:rPr>
          <w:rFonts w:hint="eastAsia"/>
        </w:rPr>
        <w:t>经双方审核无误后的变更签证费用和扣款费用，需签订工程变更价款确认书，</w:t>
      </w:r>
      <w:r>
        <w:rPr>
          <w:rFonts w:hint="eastAsia"/>
          <w:u w:val="single"/>
        </w:rPr>
        <w:t>即一单一结完成后，与工程款同期支付</w:t>
      </w:r>
      <w:r>
        <w:rPr>
          <w:rFonts w:hint="eastAsia"/>
        </w:rPr>
        <w:t>。</w:t>
      </w:r>
    </w:p>
    <w:p>
      <w:pPr>
        <w:pStyle w:val="11"/>
        <w:tabs>
          <w:tab w:val="left" w:pos="1440"/>
        </w:tabs>
        <w:spacing w:after="0"/>
        <w:ind w:left="957" w:leftChars="113" w:hanging="720" w:hangingChars="300"/>
      </w:pPr>
      <w:r>
        <w:rPr>
          <w:rFonts w:hint="eastAsia"/>
        </w:rPr>
        <w:t>15.</w:t>
      </w:r>
      <w:r>
        <w:t>2.3</w:t>
      </w:r>
      <w:r>
        <w:rPr>
          <w:rFonts w:hint="eastAsia"/>
        </w:rPr>
        <w:t xml:space="preserve"> 承包人针对变更、签证的申报书的内容必须完整、准确，上报的预算额，为提高确认效率，避免承包人高估冒算，报价不得高出最终审定结算价的</w:t>
      </w:r>
      <w:r>
        <w:rPr>
          <w:u w:val="single"/>
        </w:rPr>
        <w:t>5</w:t>
      </w:r>
      <w:r>
        <w:rPr>
          <w:rFonts w:hint="eastAsia"/>
          <w:u w:val="single"/>
        </w:rPr>
        <w:t>%</w:t>
      </w:r>
      <w:r>
        <w:rPr>
          <w:rFonts w:hint="eastAsia"/>
        </w:rPr>
        <w:t>，否则，发包人收取超出部分的</w:t>
      </w:r>
      <w:r>
        <w:rPr>
          <w:u w:val="single"/>
        </w:rPr>
        <w:t>10</w:t>
      </w:r>
      <w:r>
        <w:rPr>
          <w:rFonts w:hint="eastAsia"/>
          <w:u w:val="single"/>
        </w:rPr>
        <w:t>％</w:t>
      </w:r>
      <w:r>
        <w:rPr>
          <w:rFonts w:hint="eastAsia"/>
        </w:rPr>
        <w:t>作为违约金，直接在该申报书的结算款中扣除。</w:t>
      </w:r>
    </w:p>
    <w:bookmarkEnd w:id="200"/>
    <w:bookmarkEnd w:id="201"/>
    <w:bookmarkEnd w:id="202"/>
    <w:p>
      <w:pPr>
        <w:pStyle w:val="2"/>
        <w:spacing w:before="0" w:after="0" w:line="360" w:lineRule="auto"/>
        <w:rPr>
          <w:rFonts w:hint="eastAsia"/>
          <w:b/>
          <w:sz w:val="24"/>
          <w:szCs w:val="24"/>
        </w:rPr>
      </w:pPr>
      <w:bookmarkStart w:id="208" w:name="_Toc465721817"/>
      <w:bookmarkStart w:id="209" w:name="_Toc471834442"/>
      <w:bookmarkStart w:id="210" w:name="_Toc168739675"/>
      <w:bookmarkStart w:id="211" w:name="_Toc89406073"/>
      <w:bookmarkStart w:id="212" w:name="_Toc122080401"/>
      <w:bookmarkStart w:id="213" w:name="_Toc78944716"/>
      <w:r>
        <w:rPr>
          <w:b/>
          <w:sz w:val="24"/>
          <w:szCs w:val="24"/>
        </w:rPr>
        <w:t>16、支付和结算</w:t>
      </w:r>
      <w:bookmarkEnd w:id="208"/>
      <w:bookmarkEnd w:id="209"/>
    </w:p>
    <w:p>
      <w:pPr>
        <w:pStyle w:val="10"/>
        <w:numPr>
          <w:ilvl w:val="0"/>
          <w:numId w:val="0"/>
        </w:numPr>
        <w:spacing w:before="0" w:after="0" w:line="360" w:lineRule="auto"/>
        <w:rPr>
          <w:b w:val="0"/>
          <w:szCs w:val="24"/>
        </w:rPr>
      </w:pPr>
      <w:bookmarkStart w:id="214" w:name="_Toc465721818"/>
      <w:bookmarkStart w:id="215" w:name="_Toc471834443"/>
      <w:r>
        <w:rPr>
          <w:b w:val="0"/>
          <w:szCs w:val="24"/>
        </w:rPr>
        <w:t>16.1 工程款支付</w:t>
      </w:r>
      <w:bookmarkEnd w:id="214"/>
      <w:bookmarkEnd w:id="215"/>
    </w:p>
    <w:p>
      <w:pPr>
        <w:tabs>
          <w:tab w:val="left" w:pos="709"/>
        </w:tabs>
        <w:autoSpaceDE w:val="0"/>
        <w:autoSpaceDN w:val="0"/>
        <w:adjustRightInd w:val="0"/>
        <w:snapToGrid w:val="0"/>
        <w:spacing w:before="120" w:beforeLines="50" w:line="360" w:lineRule="auto"/>
        <w:ind w:firstLine="240" w:firstLineChars="100"/>
        <w:textAlignment w:val="baseline"/>
        <w:rPr>
          <w:bCs/>
          <w:sz w:val="24"/>
        </w:rPr>
      </w:pPr>
      <w:r>
        <w:rPr>
          <w:bCs/>
          <w:sz w:val="24"/>
        </w:rPr>
        <w:t>16.1.1</w:t>
      </w:r>
      <w:r>
        <w:rPr>
          <w:rFonts w:hint="eastAsia"/>
          <w:bCs/>
          <w:sz w:val="24"/>
        </w:rPr>
        <w:t>承包人在签订合同前向发包人提供</w:t>
      </w:r>
      <w:r>
        <w:rPr>
          <w:rFonts w:hint="eastAsia"/>
          <w:bCs/>
          <w:sz w:val="24"/>
          <w:u w:val="single"/>
          <w:lang w:val="en-US" w:eastAsia="zh-CN"/>
        </w:rPr>
        <w:t xml:space="preserve"> 20 </w:t>
      </w:r>
      <w:r>
        <w:rPr>
          <w:rFonts w:hint="eastAsia"/>
          <w:bCs/>
          <w:sz w:val="24"/>
          <w:lang w:val="en-US" w:eastAsia="zh-CN"/>
        </w:rPr>
        <w:t>万元（大写：贰拾万元整）</w:t>
      </w:r>
      <w:r>
        <w:rPr>
          <w:rFonts w:hint="eastAsia"/>
          <w:bCs/>
          <w:sz w:val="24"/>
        </w:rPr>
        <w:t>的履约</w:t>
      </w:r>
      <w:r>
        <w:rPr>
          <w:rFonts w:hint="eastAsia"/>
          <w:bCs/>
          <w:sz w:val="24"/>
          <w:lang w:eastAsia="zh-CN"/>
        </w:rPr>
        <w:t>保证金（银行转账）</w:t>
      </w:r>
      <w:r>
        <w:rPr>
          <w:rFonts w:hint="eastAsia"/>
          <w:bCs/>
          <w:sz w:val="24"/>
        </w:rPr>
        <w:t>。</w:t>
      </w:r>
    </w:p>
    <w:p>
      <w:pPr>
        <w:tabs>
          <w:tab w:val="left" w:pos="709"/>
        </w:tabs>
        <w:autoSpaceDE w:val="0"/>
        <w:autoSpaceDN w:val="0"/>
        <w:adjustRightInd w:val="0"/>
        <w:snapToGrid w:val="0"/>
        <w:spacing w:before="120" w:beforeLines="50" w:line="360" w:lineRule="auto"/>
        <w:ind w:firstLine="240" w:firstLineChars="100"/>
        <w:textAlignment w:val="baseline"/>
        <w:rPr>
          <w:rFonts w:hint="eastAsia"/>
          <w:bCs/>
          <w:sz w:val="24"/>
        </w:rPr>
      </w:pPr>
      <w:r>
        <w:rPr>
          <w:rFonts w:hint="eastAsia"/>
          <w:bCs/>
          <w:sz w:val="24"/>
        </w:rPr>
        <w:t>本</w:t>
      </w:r>
      <w:r>
        <w:rPr>
          <w:bCs/>
          <w:sz w:val="24"/>
        </w:rPr>
        <w:t>工程无</w:t>
      </w:r>
      <w:r>
        <w:rPr>
          <w:rFonts w:hint="eastAsia"/>
          <w:bCs/>
          <w:sz w:val="24"/>
        </w:rPr>
        <w:t>预付款。</w:t>
      </w:r>
    </w:p>
    <w:p>
      <w:pPr>
        <w:tabs>
          <w:tab w:val="left" w:pos="709"/>
        </w:tabs>
        <w:autoSpaceDE w:val="0"/>
        <w:autoSpaceDN w:val="0"/>
        <w:adjustRightInd w:val="0"/>
        <w:snapToGrid w:val="0"/>
        <w:spacing w:line="360" w:lineRule="auto"/>
        <w:ind w:firstLine="480" w:firstLineChars="200"/>
        <w:textAlignment w:val="baseline"/>
        <w:rPr>
          <w:bCs/>
          <w:sz w:val="24"/>
        </w:rPr>
      </w:pPr>
      <w:r>
        <w:rPr>
          <w:rFonts w:hint="eastAsia"/>
          <w:bCs/>
          <w:sz w:val="24"/>
        </w:rPr>
        <w:t>16.1.1.1付款：</w:t>
      </w:r>
      <w:r>
        <w:rPr>
          <w:bCs/>
          <w:sz w:val="24"/>
        </w:rPr>
        <w:t xml:space="preserve"> </w:t>
      </w:r>
    </w:p>
    <w:p>
      <w:pPr>
        <w:tabs>
          <w:tab w:val="left" w:pos="709"/>
        </w:tabs>
        <w:autoSpaceDE w:val="0"/>
        <w:autoSpaceDN w:val="0"/>
        <w:adjustRightInd w:val="0"/>
        <w:snapToGrid w:val="0"/>
        <w:spacing w:line="360" w:lineRule="auto"/>
        <w:ind w:firstLine="480" w:firstLineChars="200"/>
        <w:textAlignment w:val="baseline"/>
        <w:rPr>
          <w:rFonts w:hint="eastAsia"/>
          <w:bCs/>
          <w:sz w:val="24"/>
        </w:rPr>
      </w:pPr>
      <w:r>
        <w:rPr>
          <w:rFonts w:hint="eastAsia"/>
          <w:bCs/>
          <w:sz w:val="24"/>
        </w:rPr>
        <w:t>（1）本工程无预付款。</w:t>
      </w:r>
    </w:p>
    <w:p>
      <w:pPr>
        <w:tabs>
          <w:tab w:val="left" w:pos="709"/>
        </w:tabs>
        <w:autoSpaceDE w:val="0"/>
        <w:autoSpaceDN w:val="0"/>
        <w:adjustRightInd w:val="0"/>
        <w:snapToGrid w:val="0"/>
        <w:spacing w:line="360" w:lineRule="auto"/>
        <w:ind w:firstLine="480" w:firstLineChars="200"/>
        <w:textAlignment w:val="baseline"/>
        <w:rPr>
          <w:rFonts w:hint="eastAsia"/>
          <w:bCs/>
          <w:color w:val="000000"/>
          <w:sz w:val="24"/>
        </w:rPr>
      </w:pPr>
      <w:r>
        <w:rPr>
          <w:rFonts w:hint="eastAsia"/>
          <w:bCs/>
          <w:color w:val="000000"/>
          <w:sz w:val="24"/>
        </w:rPr>
        <w:t>（2）工程款按</w:t>
      </w:r>
      <w:r>
        <w:rPr>
          <w:rFonts w:hint="eastAsia"/>
          <w:bCs/>
          <w:color w:val="000000"/>
          <w:sz w:val="24"/>
          <w:lang w:eastAsia="zh-CN"/>
        </w:rPr>
        <w:t>以下约定</w:t>
      </w:r>
      <w:r>
        <w:rPr>
          <w:rFonts w:hint="eastAsia"/>
          <w:bCs/>
          <w:color w:val="000000"/>
          <w:sz w:val="24"/>
        </w:rPr>
        <w:t>支付。</w:t>
      </w:r>
    </w:p>
    <w:p>
      <w:pPr>
        <w:tabs>
          <w:tab w:val="left" w:pos="709"/>
        </w:tabs>
        <w:autoSpaceDE w:val="0"/>
        <w:autoSpaceDN w:val="0"/>
        <w:adjustRightInd w:val="0"/>
        <w:snapToGrid w:val="0"/>
        <w:spacing w:line="360" w:lineRule="auto"/>
        <w:ind w:firstLine="480" w:firstLineChars="200"/>
        <w:textAlignment w:val="baseline"/>
        <w:rPr>
          <w:rFonts w:hint="eastAsia"/>
          <w:bCs/>
          <w:color w:val="000000"/>
          <w:sz w:val="24"/>
        </w:rPr>
      </w:pPr>
      <w:r>
        <w:rPr>
          <w:rFonts w:hint="eastAsia"/>
          <w:bCs/>
          <w:color w:val="000000"/>
          <w:sz w:val="24"/>
        </w:rPr>
        <w:t>①全部施工完毕，并移交场地后，次月支付已完产值的50%；</w:t>
      </w:r>
    </w:p>
    <w:p>
      <w:pPr>
        <w:tabs>
          <w:tab w:val="left" w:pos="709"/>
        </w:tabs>
        <w:autoSpaceDE w:val="0"/>
        <w:autoSpaceDN w:val="0"/>
        <w:adjustRightInd w:val="0"/>
        <w:snapToGrid w:val="0"/>
        <w:spacing w:line="360" w:lineRule="auto"/>
        <w:ind w:firstLine="480" w:firstLineChars="200"/>
        <w:textAlignment w:val="baseline"/>
        <w:rPr>
          <w:rFonts w:hint="eastAsia"/>
          <w:bCs/>
          <w:color w:val="000000"/>
          <w:sz w:val="24"/>
        </w:rPr>
      </w:pPr>
      <w:r>
        <w:rPr>
          <w:rFonts w:hint="eastAsia"/>
          <w:bCs/>
          <w:color w:val="000000"/>
          <w:sz w:val="24"/>
        </w:rPr>
        <w:t>②结算完成(包括发包人上报集团审核完)后，次月支付至结算金额的97%；</w:t>
      </w:r>
    </w:p>
    <w:p>
      <w:pPr>
        <w:tabs>
          <w:tab w:val="left" w:pos="709"/>
        </w:tabs>
        <w:autoSpaceDE w:val="0"/>
        <w:autoSpaceDN w:val="0"/>
        <w:adjustRightInd w:val="0"/>
        <w:snapToGrid w:val="0"/>
        <w:spacing w:line="360" w:lineRule="auto"/>
        <w:ind w:firstLine="480" w:firstLineChars="200"/>
        <w:textAlignment w:val="baseline"/>
        <w:rPr>
          <w:rFonts w:hint="eastAsia"/>
          <w:bCs/>
          <w:color w:val="000000"/>
          <w:sz w:val="24"/>
        </w:rPr>
      </w:pPr>
      <w:r>
        <w:rPr>
          <w:rFonts w:hint="eastAsia"/>
          <w:bCs/>
          <w:color w:val="000000"/>
          <w:sz w:val="24"/>
        </w:rPr>
        <w:t>③质量保证金：结算总金额的3%作为工程质保金，</w:t>
      </w:r>
      <w:r>
        <w:rPr>
          <w:rFonts w:hint="eastAsia"/>
          <w:bCs/>
          <w:color w:val="000000"/>
          <w:sz w:val="24"/>
          <w:lang w:eastAsia="zh-CN"/>
        </w:rPr>
        <w:t>质保期一年，</w:t>
      </w:r>
      <w:r>
        <w:rPr>
          <w:rFonts w:hint="eastAsia"/>
          <w:bCs/>
          <w:color w:val="000000"/>
          <w:sz w:val="24"/>
        </w:rPr>
        <w:t>质保金在保修期到后，根据乙方提供的付款资料（付款资料包括：乙方的付款申请、甲方指定部门出具的保修期间质量合格证明），扣除乙方应付的保修费用之后（见产品保修约定），</w:t>
      </w:r>
      <w:r>
        <w:rPr>
          <w:rFonts w:hint="eastAsia"/>
          <w:bCs/>
          <w:color w:val="000000"/>
          <w:sz w:val="24"/>
          <w:lang w:val="en-US" w:eastAsia="zh-CN"/>
        </w:rPr>
        <w:t>3</w:t>
      </w:r>
      <w:r>
        <w:rPr>
          <w:rFonts w:hint="eastAsia"/>
          <w:bCs/>
          <w:color w:val="000000"/>
          <w:sz w:val="24"/>
        </w:rPr>
        <w:t>0个工作日内无息付清。</w:t>
      </w:r>
    </w:p>
    <w:p>
      <w:pPr>
        <w:tabs>
          <w:tab w:val="left" w:pos="709"/>
        </w:tabs>
        <w:autoSpaceDE w:val="0"/>
        <w:autoSpaceDN w:val="0"/>
        <w:adjustRightInd w:val="0"/>
        <w:snapToGrid w:val="0"/>
        <w:spacing w:line="360" w:lineRule="auto"/>
        <w:ind w:firstLine="480" w:firstLineChars="200"/>
        <w:textAlignment w:val="baseline"/>
        <w:rPr>
          <w:bCs/>
          <w:sz w:val="24"/>
        </w:rPr>
      </w:pPr>
      <w:r>
        <w:rPr>
          <w:rFonts w:hint="eastAsia"/>
          <w:bCs/>
          <w:sz w:val="24"/>
          <w:lang w:eastAsia="zh-CN"/>
        </w:rPr>
        <w:t>（</w:t>
      </w:r>
      <w:r>
        <w:rPr>
          <w:rFonts w:hint="eastAsia"/>
          <w:bCs/>
          <w:sz w:val="24"/>
          <w:lang w:val="en-US" w:eastAsia="zh-CN"/>
        </w:rPr>
        <w:t>3</w:t>
      </w:r>
      <w:r>
        <w:rPr>
          <w:rFonts w:hint="eastAsia"/>
          <w:bCs/>
          <w:sz w:val="24"/>
          <w:lang w:eastAsia="zh-CN"/>
        </w:rPr>
        <w:t>）</w:t>
      </w:r>
      <w:r>
        <w:rPr>
          <w:rFonts w:hint="eastAsia"/>
          <w:bCs/>
          <w:sz w:val="24"/>
        </w:rPr>
        <w:t>保修期满足《工程质量保修协议》</w:t>
      </w:r>
      <w:r>
        <w:rPr>
          <w:bCs/>
          <w:sz w:val="24"/>
        </w:rPr>
        <w:t>相关约定</w:t>
      </w:r>
      <w:r>
        <w:rPr>
          <w:rFonts w:hint="eastAsia"/>
          <w:bCs/>
          <w:sz w:val="24"/>
        </w:rPr>
        <w:t>。付款资料包括：承包人的付款申请、发包人指定部门出具的保修期内质量合格证明。</w:t>
      </w:r>
    </w:p>
    <w:p>
      <w:pPr>
        <w:tabs>
          <w:tab w:val="left" w:pos="709"/>
        </w:tabs>
        <w:autoSpaceDE w:val="0"/>
        <w:autoSpaceDN w:val="0"/>
        <w:adjustRightInd w:val="0"/>
        <w:snapToGrid w:val="0"/>
        <w:spacing w:line="360" w:lineRule="auto"/>
        <w:ind w:firstLine="480" w:firstLineChars="200"/>
        <w:textAlignment w:val="baseline"/>
        <w:rPr>
          <w:bCs/>
          <w:sz w:val="24"/>
        </w:rPr>
      </w:pPr>
      <w:r>
        <w:rPr>
          <w:rFonts w:hint="eastAsia"/>
          <w:bCs/>
          <w:sz w:val="24"/>
        </w:rPr>
        <w:t>（4）未按100%支付的产值及预留的质量保修金均不计息。</w:t>
      </w:r>
    </w:p>
    <w:p>
      <w:pPr>
        <w:tabs>
          <w:tab w:val="left" w:pos="709"/>
        </w:tabs>
        <w:autoSpaceDE w:val="0"/>
        <w:autoSpaceDN w:val="0"/>
        <w:adjustRightInd w:val="0"/>
        <w:snapToGrid w:val="0"/>
        <w:spacing w:line="360" w:lineRule="auto"/>
        <w:ind w:firstLine="480" w:firstLineChars="200"/>
        <w:textAlignment w:val="baseline"/>
        <w:rPr>
          <w:bCs/>
          <w:sz w:val="24"/>
        </w:rPr>
      </w:pPr>
      <w:r>
        <w:rPr>
          <w:rFonts w:hint="eastAsia"/>
          <w:bCs/>
          <w:sz w:val="24"/>
        </w:rPr>
        <w:t>（5）每笔付款前，承包人向发包人发出付款</w:t>
      </w:r>
      <w:r>
        <w:rPr>
          <w:rFonts w:hint="eastAsia"/>
          <w:bCs/>
          <w:sz w:val="24"/>
          <w:lang w:eastAsia="zh-CN"/>
        </w:rPr>
        <w:t>申请</w:t>
      </w:r>
      <w:r>
        <w:rPr>
          <w:rFonts w:hint="eastAsia"/>
          <w:bCs/>
          <w:sz w:val="24"/>
        </w:rPr>
        <w:t>书，并提供合同约定的相关资料，经发包人审核确认后付款。付款时承包人须提供有效的等值增值税发票，否则发包人有权暂缓付款，由此造成发包人逾期付款的，发包人不承担相应的违约责任。</w:t>
      </w:r>
    </w:p>
    <w:p>
      <w:pPr>
        <w:tabs>
          <w:tab w:val="left" w:pos="709"/>
        </w:tabs>
        <w:autoSpaceDE w:val="0"/>
        <w:autoSpaceDN w:val="0"/>
        <w:adjustRightInd w:val="0"/>
        <w:snapToGrid w:val="0"/>
        <w:spacing w:line="360" w:lineRule="auto"/>
        <w:ind w:left="709"/>
        <w:textAlignment w:val="baseline"/>
        <w:rPr>
          <w:rFonts w:hint="eastAsia" w:ascii="Arial" w:hAnsi="Arial" w:cs="Arial"/>
          <w:kern w:val="0"/>
          <w:sz w:val="24"/>
        </w:rPr>
      </w:pPr>
      <w:r>
        <w:rPr>
          <w:rFonts w:hint="eastAsia" w:ascii="Arial" w:hAnsi="Arial" w:cs="Arial"/>
          <w:kern w:val="0"/>
          <w:sz w:val="24"/>
        </w:rPr>
        <w:t>16.1.1.</w:t>
      </w:r>
      <w:r>
        <w:rPr>
          <w:rFonts w:ascii="Arial" w:hAnsi="Arial" w:cs="Arial"/>
          <w:kern w:val="0"/>
          <w:sz w:val="24"/>
        </w:rPr>
        <w:t>2</w:t>
      </w:r>
      <w:r>
        <w:rPr>
          <w:rFonts w:hint="eastAsia" w:ascii="Arial" w:hAnsi="Arial" w:cs="Arial"/>
          <w:kern w:val="0"/>
          <w:sz w:val="24"/>
        </w:rPr>
        <w:t xml:space="preserve"> 其他说明</w:t>
      </w:r>
    </w:p>
    <w:p>
      <w:pPr>
        <w:numPr>
          <w:ilvl w:val="0"/>
          <w:numId w:val="2"/>
        </w:numPr>
        <w:tabs>
          <w:tab w:val="left" w:pos="709"/>
        </w:tabs>
        <w:autoSpaceDE w:val="0"/>
        <w:autoSpaceDN w:val="0"/>
        <w:adjustRightInd w:val="0"/>
        <w:snapToGrid w:val="0"/>
        <w:spacing w:line="360" w:lineRule="auto"/>
        <w:textAlignment w:val="baseline"/>
        <w:rPr>
          <w:rFonts w:hint="eastAsia" w:ascii="Arial" w:hAnsi="Arial" w:cs="Arial"/>
          <w:kern w:val="0"/>
          <w:sz w:val="24"/>
        </w:rPr>
      </w:pPr>
      <w:r>
        <w:rPr>
          <w:rFonts w:hint="eastAsia" w:ascii="Arial" w:hAnsi="Arial" w:cs="Arial"/>
          <w:kern w:val="0"/>
          <w:sz w:val="24"/>
        </w:rPr>
        <w:t>工程进度款与质量挂钩，若所报工程的质量达不到验收规范要求、形象进度与工程资料达不到合同要求，发包人有权暂缓支付或调减该部分工程款。</w:t>
      </w:r>
    </w:p>
    <w:p>
      <w:pPr>
        <w:numPr>
          <w:ilvl w:val="0"/>
          <w:numId w:val="2"/>
        </w:numPr>
        <w:tabs>
          <w:tab w:val="left" w:pos="709"/>
        </w:tabs>
        <w:autoSpaceDE w:val="0"/>
        <w:autoSpaceDN w:val="0"/>
        <w:adjustRightInd w:val="0"/>
        <w:snapToGrid w:val="0"/>
        <w:spacing w:line="360" w:lineRule="auto"/>
        <w:textAlignment w:val="baseline"/>
        <w:rPr>
          <w:rFonts w:ascii="Arial" w:hAnsi="Arial" w:cs="Arial"/>
          <w:kern w:val="0"/>
          <w:sz w:val="24"/>
        </w:rPr>
      </w:pPr>
      <w:r>
        <w:rPr>
          <w:rFonts w:hint="eastAsia" w:ascii="Arial" w:hAnsi="Arial" w:cs="Arial"/>
          <w:kern w:val="0"/>
          <w:sz w:val="24"/>
        </w:rPr>
        <w:t>所有赔付经发包人及监理确认后即生效，所有承包人需要承担的违约金由发包人签字和监理单位总监签字，监理单位盖章确认后即生效。</w:t>
      </w:r>
    </w:p>
    <w:p>
      <w:pPr>
        <w:numPr>
          <w:ilvl w:val="0"/>
          <w:numId w:val="2"/>
        </w:numPr>
        <w:tabs>
          <w:tab w:val="left" w:pos="709"/>
        </w:tabs>
        <w:autoSpaceDE w:val="0"/>
        <w:autoSpaceDN w:val="0"/>
        <w:adjustRightInd w:val="0"/>
        <w:snapToGrid w:val="0"/>
        <w:spacing w:line="360" w:lineRule="auto"/>
        <w:textAlignment w:val="baseline"/>
        <w:rPr>
          <w:rFonts w:hint="eastAsia" w:ascii="Arial" w:hAnsi="Arial" w:cs="Arial"/>
          <w:kern w:val="0"/>
          <w:sz w:val="24"/>
        </w:rPr>
      </w:pPr>
      <w:r>
        <w:rPr>
          <w:rFonts w:hint="eastAsia" w:ascii="Arial" w:hAnsi="Arial" w:cs="Arial"/>
          <w:kern w:val="0"/>
          <w:sz w:val="24"/>
        </w:rPr>
        <w:t>发包人为承包人承担的水电费、代缴代垫付金额（含税）视同为向承包人支付了对应金额的合同款（含税），但是发包人不再就水电费向承包人提供任何发票。</w:t>
      </w:r>
    </w:p>
    <w:p>
      <w:pPr>
        <w:numPr>
          <w:ilvl w:val="0"/>
          <w:numId w:val="2"/>
        </w:numPr>
        <w:spacing w:line="360" w:lineRule="auto"/>
        <w:rPr>
          <w:rFonts w:ascii="Arial" w:hAnsi="Arial" w:cs="Arial"/>
          <w:kern w:val="0"/>
          <w:sz w:val="24"/>
        </w:rPr>
      </w:pPr>
      <w:r>
        <w:rPr>
          <w:rFonts w:hint="eastAsia" w:ascii="Arial" w:hAnsi="Arial" w:cs="Arial"/>
          <w:kern w:val="0"/>
          <w:sz w:val="24"/>
        </w:rPr>
        <w:t>本工程发票税率为</w:t>
      </w:r>
      <w:r>
        <w:rPr>
          <w:rFonts w:hint="eastAsia" w:ascii="Arial" w:hAnsi="Arial" w:cs="Arial"/>
          <w:kern w:val="0"/>
          <w:sz w:val="24"/>
          <w:lang w:val="en-US" w:eastAsia="zh-CN"/>
        </w:rPr>
        <w:t>9</w:t>
      </w:r>
      <w:r>
        <w:rPr>
          <w:rFonts w:hint="eastAsia" w:ascii="Arial" w:hAnsi="Arial" w:cs="Arial"/>
          <w:kern w:val="0"/>
          <w:sz w:val="24"/>
        </w:rPr>
        <w:t>%，发票要求详见通用条款16.1.1。（增值税税率根据实际情况可调整）</w:t>
      </w:r>
    </w:p>
    <w:p>
      <w:pPr>
        <w:tabs>
          <w:tab w:val="left" w:pos="709"/>
          <w:tab w:val="left" w:pos="7132"/>
        </w:tabs>
        <w:autoSpaceDE w:val="0"/>
        <w:autoSpaceDN w:val="0"/>
        <w:adjustRightInd w:val="0"/>
        <w:snapToGrid w:val="0"/>
        <w:spacing w:line="360" w:lineRule="auto"/>
        <w:ind w:left="709"/>
        <w:textAlignment w:val="baseline"/>
        <w:rPr>
          <w:rFonts w:hint="eastAsia" w:ascii="Arial" w:hAnsi="Arial" w:cs="Arial"/>
          <w:kern w:val="0"/>
          <w:sz w:val="24"/>
        </w:rPr>
      </w:pPr>
      <w:r>
        <w:rPr>
          <w:rFonts w:hint="eastAsia" w:ascii="Arial" w:hAnsi="Arial" w:cs="Arial"/>
          <w:kern w:val="0"/>
          <w:sz w:val="24"/>
        </w:rPr>
        <w:t>16.1.3 工程款支付申请单提交及审核要求：</w:t>
      </w:r>
    </w:p>
    <w:p>
      <w:pPr>
        <w:tabs>
          <w:tab w:val="left" w:pos="709"/>
          <w:tab w:val="left" w:pos="7132"/>
        </w:tabs>
        <w:autoSpaceDE w:val="0"/>
        <w:autoSpaceDN w:val="0"/>
        <w:adjustRightInd w:val="0"/>
        <w:snapToGrid w:val="0"/>
        <w:spacing w:line="360" w:lineRule="auto"/>
        <w:ind w:left="709"/>
        <w:textAlignment w:val="baseline"/>
        <w:rPr>
          <w:rFonts w:hint="eastAsia" w:ascii="Arial" w:hAnsi="Arial" w:cs="Arial"/>
          <w:kern w:val="0"/>
          <w:sz w:val="24"/>
        </w:rPr>
      </w:pPr>
      <w:r>
        <w:rPr>
          <w:rFonts w:hint="eastAsia" w:ascii="Arial" w:hAnsi="Arial" w:cs="Arial"/>
          <w:kern w:val="0"/>
          <w:sz w:val="24"/>
        </w:rPr>
        <w:t>1) 承包人所提交的支付申请单的组成至少包括以下资料：工程产值申报表，未下发工程设计变更单、签证单申报表，金额计算明细，合同关键页复印件，当期工期节点完成情况对比，当期费用变化事项报备表等资料。</w:t>
      </w:r>
    </w:p>
    <w:p>
      <w:pPr>
        <w:tabs>
          <w:tab w:val="left" w:pos="709"/>
          <w:tab w:val="left" w:pos="7132"/>
        </w:tabs>
        <w:autoSpaceDE w:val="0"/>
        <w:autoSpaceDN w:val="0"/>
        <w:adjustRightInd w:val="0"/>
        <w:snapToGrid w:val="0"/>
        <w:spacing w:line="360" w:lineRule="auto"/>
        <w:ind w:left="709"/>
        <w:textAlignment w:val="baseline"/>
        <w:rPr>
          <w:rFonts w:hint="eastAsia" w:ascii="Arial" w:hAnsi="Arial" w:cs="Arial"/>
          <w:kern w:val="0"/>
          <w:sz w:val="24"/>
        </w:rPr>
      </w:pPr>
      <w:r>
        <w:rPr>
          <w:rFonts w:hint="eastAsia" w:ascii="Arial" w:hAnsi="Arial" w:cs="Arial"/>
          <w:kern w:val="0"/>
          <w:sz w:val="24"/>
        </w:rPr>
        <w:t>2) 承包人如对于应由其承担的扣款事宜，拖延不受，怠于认可，发包人有权拒绝接收支付申请，进而停止付款。</w:t>
      </w:r>
    </w:p>
    <w:p>
      <w:pPr>
        <w:tabs>
          <w:tab w:val="left" w:pos="709"/>
          <w:tab w:val="left" w:pos="7132"/>
        </w:tabs>
        <w:autoSpaceDE w:val="0"/>
        <w:autoSpaceDN w:val="0"/>
        <w:adjustRightInd w:val="0"/>
        <w:snapToGrid w:val="0"/>
        <w:spacing w:line="360" w:lineRule="auto"/>
        <w:ind w:left="709"/>
        <w:textAlignment w:val="baseline"/>
        <w:rPr>
          <w:rFonts w:hint="eastAsia" w:ascii="Arial" w:hAnsi="Arial" w:cs="Arial"/>
          <w:kern w:val="0"/>
          <w:sz w:val="24"/>
        </w:rPr>
      </w:pPr>
      <w:r>
        <w:rPr>
          <w:rFonts w:hint="eastAsia" w:ascii="Arial" w:hAnsi="Arial" w:cs="Arial"/>
          <w:kern w:val="0"/>
          <w:sz w:val="24"/>
        </w:rPr>
        <w:t>3) 发包人在办理每一次付款手续前，承包人须向发包人开具与当期已完工并完成对应核算产值的应付款或结算的产值等额的、合法有效的增值税发票，并加盖发票专用章。</w:t>
      </w:r>
    </w:p>
    <w:p>
      <w:pPr>
        <w:tabs>
          <w:tab w:val="left" w:pos="709"/>
          <w:tab w:val="left" w:pos="7132"/>
        </w:tabs>
        <w:autoSpaceDE w:val="0"/>
        <w:autoSpaceDN w:val="0"/>
        <w:adjustRightInd w:val="0"/>
        <w:snapToGrid w:val="0"/>
        <w:spacing w:line="360" w:lineRule="auto"/>
        <w:ind w:left="709"/>
        <w:textAlignment w:val="baseline"/>
        <w:rPr>
          <w:rFonts w:hint="eastAsia" w:ascii="Arial" w:hAnsi="Arial" w:cs="Arial"/>
          <w:kern w:val="0"/>
          <w:sz w:val="24"/>
        </w:rPr>
      </w:pPr>
      <w:r>
        <w:rPr>
          <w:rFonts w:hint="eastAsia" w:ascii="Arial" w:hAnsi="Arial" w:cs="Arial"/>
          <w:kern w:val="0"/>
          <w:sz w:val="24"/>
        </w:rPr>
        <w:t>16.1.4、承包人开具的增值税发票必须符合国家税收有关法律规定，不得使用虚假发票或伪造、变造的发票，否则一切责任由承包人自行承担，同时承包人需向发包人承担票面金额20%的违约金，对由此引起的发包人全部损失承包人负责双倍赔偿。同时，发包人可将承包人列为不合格供方，并保留对承包人追究法律责任的权利。</w:t>
      </w:r>
    </w:p>
    <w:p>
      <w:pPr>
        <w:tabs>
          <w:tab w:val="left" w:pos="709"/>
          <w:tab w:val="left" w:pos="7132"/>
        </w:tabs>
        <w:autoSpaceDE w:val="0"/>
        <w:autoSpaceDN w:val="0"/>
        <w:adjustRightInd w:val="0"/>
        <w:snapToGrid w:val="0"/>
        <w:spacing w:line="360" w:lineRule="auto"/>
        <w:ind w:left="709"/>
        <w:textAlignment w:val="baseline"/>
        <w:rPr>
          <w:rFonts w:ascii="Arial" w:hAnsi="Arial" w:cs="Arial"/>
          <w:kern w:val="0"/>
          <w:sz w:val="24"/>
        </w:rPr>
      </w:pPr>
      <w:r>
        <w:rPr>
          <w:rFonts w:hint="eastAsia" w:ascii="Arial" w:hAnsi="Arial" w:cs="Arial"/>
          <w:kern w:val="0"/>
          <w:sz w:val="24"/>
        </w:rPr>
        <w:t>16.1.5、如发生发票丢失、毁损及需要开具红字增值税专用发票等情况时，双方应互相配合进行处理。</w:t>
      </w:r>
    </w:p>
    <w:p>
      <w:pPr>
        <w:pStyle w:val="11"/>
        <w:tabs>
          <w:tab w:val="left" w:pos="1440"/>
        </w:tabs>
        <w:spacing w:after="0"/>
        <w:ind w:left="1082" w:leftChars="114" w:hanging="843" w:hangingChars="350"/>
        <w:rPr>
          <w:b/>
        </w:rPr>
      </w:pPr>
      <w:r>
        <w:rPr>
          <w:b/>
        </w:rPr>
        <w:t>16.2 结算</w:t>
      </w:r>
      <w:bookmarkEnd w:id="210"/>
      <w:bookmarkEnd w:id="211"/>
      <w:bookmarkEnd w:id="212"/>
      <w:bookmarkEnd w:id="213"/>
    </w:p>
    <w:p>
      <w:pPr>
        <w:spacing w:line="360" w:lineRule="auto"/>
        <w:ind w:firstLine="240" w:firstLineChars="100"/>
        <w:rPr>
          <w:rFonts w:hint="eastAsia" w:eastAsia="宋体"/>
          <w:sz w:val="24"/>
          <w:lang w:eastAsia="zh-CN"/>
        </w:rPr>
      </w:pPr>
      <w:r>
        <w:rPr>
          <w:sz w:val="24"/>
        </w:rPr>
        <w:t>16.2.1结算资料要求：</w:t>
      </w:r>
      <w:r>
        <w:rPr>
          <w:rFonts w:hint="eastAsia"/>
          <w:sz w:val="24"/>
          <w:lang w:eastAsia="zh-CN"/>
        </w:rPr>
        <w:t>按甲方要求。</w:t>
      </w:r>
      <w:bookmarkStart w:id="272" w:name="_GoBack"/>
      <w:bookmarkEnd w:id="272"/>
    </w:p>
    <w:p>
      <w:pPr>
        <w:spacing w:line="360" w:lineRule="auto"/>
        <w:ind w:firstLine="240" w:firstLineChars="100"/>
        <w:rPr>
          <w:rFonts w:hint="eastAsia"/>
          <w:sz w:val="24"/>
        </w:rPr>
      </w:pPr>
      <w:r>
        <w:rPr>
          <w:sz w:val="24"/>
        </w:rPr>
        <w:t>16.2.</w:t>
      </w:r>
      <w:r>
        <w:rPr>
          <w:rFonts w:hint="eastAsia"/>
          <w:sz w:val="24"/>
        </w:rPr>
        <w:t>2</w:t>
      </w:r>
      <w:r>
        <w:rPr>
          <w:rFonts w:hint="eastAsia"/>
          <w:sz w:val="24"/>
          <w:lang w:eastAsia="zh-CN"/>
        </w:rPr>
        <w:t>结算方式</w:t>
      </w:r>
      <w:r>
        <w:rPr>
          <w:rFonts w:hint="eastAsia"/>
          <w:sz w:val="24"/>
        </w:rPr>
        <w:t>：</w:t>
      </w:r>
    </w:p>
    <w:p>
      <w:pPr>
        <w:spacing w:line="360" w:lineRule="auto"/>
        <w:ind w:firstLine="240" w:firstLineChars="100"/>
        <w:rPr>
          <w:rFonts w:hint="eastAsia"/>
          <w:sz w:val="24"/>
        </w:rPr>
      </w:pPr>
      <w:r>
        <w:rPr>
          <w:rFonts w:hint="eastAsia"/>
          <w:sz w:val="24"/>
        </w:rPr>
        <w:t xml:space="preserve">工程量按实结算，计量原则如下： </w:t>
      </w:r>
    </w:p>
    <w:p>
      <w:pPr>
        <w:spacing w:line="360" w:lineRule="auto"/>
        <w:ind w:firstLine="240" w:firstLineChars="100"/>
        <w:rPr>
          <w:rFonts w:hint="eastAsia"/>
          <w:sz w:val="24"/>
        </w:rPr>
      </w:pPr>
      <w:r>
        <w:rPr>
          <w:rFonts w:hint="eastAsia"/>
          <w:sz w:val="24"/>
        </w:rPr>
        <w:t>（1）、原始地貌：以规划红线图、平基图和经承发包双方签字确认的原始实测地貌数据（第三方测绘原始地貌数据）作为原始地貌高程以及施工范围计算依据；</w:t>
      </w:r>
    </w:p>
    <w:p>
      <w:pPr>
        <w:spacing w:line="360" w:lineRule="auto"/>
        <w:ind w:firstLine="240" w:firstLineChars="100"/>
        <w:rPr>
          <w:rFonts w:hint="eastAsia"/>
          <w:sz w:val="24"/>
        </w:rPr>
      </w:pPr>
      <w:r>
        <w:rPr>
          <w:rFonts w:hint="eastAsia"/>
          <w:sz w:val="24"/>
        </w:rPr>
        <w:t>（2）、竣工地貌：结算工程量按照设计平基高程进行计算，发包人在竣工移交场地时进行复测。竣工后的现场高程复测与设计平基高程进行核对，承包人必须将所有完工高程控制在设计高程的±250mm以内，结算高程均按照设计高程进行计算。若完工复测高程与设计平基高程复测误差超过±250mm，则承包人将未达标区域进行整改，整改时间计入承包人施工工期。若发包人同意承包人在未整改到位情况下移交场地，则计算工程量时将按照工程量较少的方案进行结算。鉴于边坡处理存在不确定因素，边坡上边线按照现场实测边线作为结算的计算范围边线。</w:t>
      </w:r>
    </w:p>
    <w:p>
      <w:pPr>
        <w:spacing w:line="360" w:lineRule="auto"/>
        <w:ind w:firstLine="240" w:firstLineChars="100"/>
        <w:rPr>
          <w:rFonts w:hint="eastAsia"/>
          <w:sz w:val="24"/>
        </w:rPr>
      </w:pPr>
      <w:r>
        <w:rPr>
          <w:rFonts w:hint="eastAsia"/>
          <w:sz w:val="24"/>
        </w:rPr>
        <w:t>（3）、方格网间距5m×5m，高程数据保留至小数点后三位（单位为m），平面数据保留至小数点后三位（单位为m），挖填方工程量单位为m3、数据保留至小数点后两位。</w:t>
      </w:r>
    </w:p>
    <w:p>
      <w:pPr>
        <w:spacing w:line="360" w:lineRule="auto"/>
        <w:ind w:firstLine="240" w:firstLineChars="100"/>
        <w:rPr>
          <w:rFonts w:hint="eastAsia"/>
          <w:sz w:val="24"/>
        </w:rPr>
      </w:pPr>
      <w:r>
        <w:rPr>
          <w:rFonts w:hint="eastAsia"/>
          <w:sz w:val="24"/>
        </w:rPr>
        <w:t>平基土石方不分土石质类别（即不分人工或机械等）、深浅、方法，不计砍伐树、平墓等费用，另禁止采用爆破方式开挖，相关费用包含在综合单价内。严禁乙方粗暴开挖及超深开挖，若乙方不按甲方审核后的施工方案及规范要求等进行施工，超深开挖，由此造成的费用增加和其他全部损失由乙方承担，并向甲方支付与损失等额的违约金，甲方有权单方在工程款中扣除。</w:t>
      </w:r>
    </w:p>
    <w:p>
      <w:pPr>
        <w:spacing w:line="360" w:lineRule="auto"/>
        <w:ind w:firstLine="240" w:firstLineChars="100"/>
        <w:rPr>
          <w:sz w:val="24"/>
        </w:rPr>
      </w:pPr>
      <w:r>
        <w:rPr>
          <w:sz w:val="24"/>
        </w:rPr>
        <w:t>16.2.</w:t>
      </w:r>
      <w:r>
        <w:rPr>
          <w:rFonts w:hint="eastAsia"/>
          <w:sz w:val="24"/>
          <w:lang w:val="en-US" w:eastAsia="zh-CN"/>
        </w:rPr>
        <w:t>3</w:t>
      </w:r>
      <w:r>
        <w:rPr>
          <w:sz w:val="24"/>
        </w:rPr>
        <w:t>“暂定金额”项目价款的确定：</w:t>
      </w:r>
      <w:r>
        <w:rPr>
          <w:sz w:val="24"/>
          <w:u w:val="single"/>
        </w:rPr>
        <w:t xml:space="preserve"> </w:t>
      </w:r>
      <w:r>
        <w:rPr>
          <w:rFonts w:hint="eastAsia"/>
          <w:sz w:val="24"/>
          <w:u w:val="single"/>
        </w:rPr>
        <w:t>与通用条款一致</w:t>
      </w:r>
      <w:r>
        <w:rPr>
          <w:sz w:val="24"/>
          <w:u w:val="single"/>
        </w:rPr>
        <w:t xml:space="preserve"> </w:t>
      </w:r>
      <w:r>
        <w:rPr>
          <w:rFonts w:hint="eastAsia"/>
          <w:sz w:val="24"/>
        </w:rPr>
        <w:t>。</w:t>
      </w:r>
    </w:p>
    <w:p>
      <w:pPr>
        <w:pStyle w:val="12"/>
        <w:numPr>
          <w:ilvl w:val="0"/>
          <w:numId w:val="0"/>
        </w:numPr>
        <w:spacing w:line="360" w:lineRule="auto"/>
        <w:ind w:firstLine="240" w:firstLineChars="100"/>
        <w:jc w:val="left"/>
        <w:rPr>
          <w:rFonts w:asciiTheme="minorEastAsia" w:hAnsiTheme="minorEastAsia"/>
          <w:sz w:val="24"/>
          <w:szCs w:val="24"/>
        </w:rPr>
      </w:pPr>
      <w:r>
        <w:rPr>
          <w:sz w:val="24"/>
        </w:rPr>
        <w:t>16.2.</w:t>
      </w:r>
      <w:r>
        <w:rPr>
          <w:rFonts w:hint="eastAsia"/>
          <w:sz w:val="24"/>
          <w:lang w:val="en-US" w:eastAsia="zh-CN"/>
        </w:rPr>
        <w:t>4</w:t>
      </w:r>
      <w:r>
        <w:rPr>
          <w:rFonts w:hint="eastAsia"/>
          <w:sz w:val="24"/>
        </w:rPr>
        <w:t>其他约定</w:t>
      </w:r>
      <w:r>
        <w:rPr>
          <w:sz w:val="24"/>
        </w:rPr>
        <w:t>：</w:t>
      </w:r>
      <w:r>
        <w:rPr>
          <w:rFonts w:hint="eastAsia" w:asciiTheme="minorEastAsia" w:hAnsiTheme="minorEastAsia"/>
          <w:sz w:val="24"/>
          <w:szCs w:val="24"/>
        </w:rPr>
        <w:t>乙方</w:t>
      </w:r>
      <w:r>
        <w:rPr>
          <w:rFonts w:asciiTheme="minorEastAsia" w:hAnsiTheme="minorEastAsia"/>
          <w:sz w:val="24"/>
          <w:szCs w:val="24"/>
        </w:rPr>
        <w:t>应本着实事求是的原则，不得虚报、</w:t>
      </w:r>
      <w:r>
        <w:rPr>
          <w:rFonts w:hint="eastAsia" w:asciiTheme="minorEastAsia" w:hAnsiTheme="minorEastAsia"/>
          <w:sz w:val="24"/>
          <w:szCs w:val="24"/>
        </w:rPr>
        <w:t>假报</w:t>
      </w:r>
      <w:r>
        <w:rPr>
          <w:rFonts w:asciiTheme="minorEastAsia" w:hAnsiTheme="minorEastAsia"/>
          <w:sz w:val="24"/>
          <w:szCs w:val="24"/>
        </w:rPr>
        <w:t>、重复计算，避免增加结算工</w:t>
      </w:r>
      <w:r>
        <w:rPr>
          <w:rFonts w:hint="eastAsia" w:asciiTheme="minorEastAsia" w:hAnsiTheme="minorEastAsia"/>
          <w:sz w:val="24"/>
          <w:szCs w:val="24"/>
        </w:rPr>
        <w:t>作</w:t>
      </w:r>
      <w:r>
        <w:rPr>
          <w:rFonts w:asciiTheme="minorEastAsia" w:hAnsiTheme="minorEastAsia"/>
          <w:sz w:val="24"/>
          <w:szCs w:val="24"/>
        </w:rPr>
        <w:t>量</w:t>
      </w:r>
      <w:r>
        <w:rPr>
          <w:rFonts w:hint="eastAsia" w:asciiTheme="minorEastAsia" w:hAnsiTheme="minorEastAsia"/>
          <w:sz w:val="24"/>
          <w:szCs w:val="24"/>
        </w:rPr>
        <w:t>；</w:t>
      </w:r>
      <w:r>
        <w:rPr>
          <w:rFonts w:asciiTheme="minorEastAsia" w:hAnsiTheme="minorEastAsia"/>
          <w:sz w:val="24"/>
          <w:szCs w:val="24"/>
        </w:rPr>
        <w:t>若乙方结算报审价格大于工程最终审定结算价格的</w:t>
      </w:r>
      <w:r>
        <w:rPr>
          <w:rFonts w:hint="eastAsia" w:asciiTheme="minorEastAsia" w:hAnsiTheme="minorEastAsia"/>
          <w:sz w:val="24"/>
          <w:szCs w:val="24"/>
        </w:rPr>
        <w:t>5</w:t>
      </w:r>
      <w:r>
        <w:rPr>
          <w:rFonts w:asciiTheme="minorEastAsia" w:hAnsiTheme="minorEastAsia"/>
          <w:sz w:val="24"/>
          <w:szCs w:val="24"/>
        </w:rPr>
        <w:t>%，甲方</w:t>
      </w:r>
      <w:r>
        <w:rPr>
          <w:rFonts w:hint="eastAsia" w:asciiTheme="minorEastAsia" w:hAnsiTheme="minorEastAsia"/>
          <w:sz w:val="24"/>
          <w:szCs w:val="24"/>
        </w:rPr>
        <w:t>将</w:t>
      </w:r>
      <w:r>
        <w:rPr>
          <w:rFonts w:asciiTheme="minorEastAsia" w:hAnsiTheme="minorEastAsia"/>
          <w:sz w:val="24"/>
          <w:szCs w:val="24"/>
        </w:rPr>
        <w:t>扣除乙方报审结算值超出工程最终审定结算价款</w:t>
      </w:r>
      <w:r>
        <w:rPr>
          <w:rFonts w:hint="eastAsia" w:asciiTheme="minorEastAsia" w:hAnsiTheme="minorEastAsia"/>
          <w:sz w:val="24"/>
          <w:szCs w:val="24"/>
        </w:rPr>
        <w:t>5</w:t>
      </w:r>
      <w:r>
        <w:rPr>
          <w:rFonts w:asciiTheme="minorEastAsia" w:hAnsiTheme="minorEastAsia"/>
          <w:sz w:val="24"/>
          <w:szCs w:val="24"/>
        </w:rPr>
        <w:t>%以上部分的</w:t>
      </w:r>
      <w:r>
        <w:rPr>
          <w:rFonts w:hint="eastAsia" w:asciiTheme="minorEastAsia" w:hAnsiTheme="minorEastAsia"/>
          <w:sz w:val="24"/>
          <w:szCs w:val="24"/>
        </w:rPr>
        <w:t>10</w:t>
      </w:r>
      <w:r>
        <w:rPr>
          <w:rFonts w:asciiTheme="minorEastAsia" w:hAnsiTheme="minorEastAsia"/>
          <w:sz w:val="24"/>
          <w:szCs w:val="24"/>
        </w:rPr>
        <w:t>%作为乙方违约金，并</w:t>
      </w:r>
      <w:r>
        <w:rPr>
          <w:rFonts w:hint="eastAsia" w:asciiTheme="minorEastAsia" w:hAnsiTheme="minorEastAsia"/>
          <w:sz w:val="24"/>
          <w:szCs w:val="24"/>
        </w:rPr>
        <w:t>在</w:t>
      </w:r>
      <w:r>
        <w:rPr>
          <w:rFonts w:asciiTheme="minorEastAsia" w:hAnsiTheme="minorEastAsia"/>
          <w:sz w:val="24"/>
          <w:szCs w:val="24"/>
        </w:rPr>
        <w:t>本合同结算价款中扣除。</w:t>
      </w:r>
    </w:p>
    <w:p>
      <w:pPr>
        <w:spacing w:line="360" w:lineRule="auto"/>
        <w:ind w:firstLine="480" w:firstLineChars="200"/>
        <w:rPr>
          <w:sz w:val="24"/>
        </w:rPr>
      </w:pPr>
      <w:r>
        <w:rPr>
          <w:sz w:val="24"/>
        </w:rPr>
        <w:t xml:space="preserve"> </w:t>
      </w:r>
      <w:bookmarkStart w:id="216" w:name="_Toc89406074"/>
      <w:bookmarkStart w:id="217" w:name="_Toc78944717"/>
      <w:bookmarkStart w:id="218" w:name="_Toc122080402"/>
    </w:p>
    <w:p>
      <w:pPr>
        <w:pStyle w:val="2"/>
        <w:spacing w:before="0" w:after="0" w:line="360" w:lineRule="auto"/>
        <w:rPr>
          <w:b/>
          <w:sz w:val="24"/>
          <w:szCs w:val="24"/>
        </w:rPr>
      </w:pPr>
      <w:bookmarkStart w:id="219" w:name="_Toc168739676"/>
      <w:bookmarkStart w:id="220" w:name="_Toc465441670"/>
      <w:r>
        <w:rPr>
          <w:b/>
          <w:sz w:val="24"/>
          <w:szCs w:val="24"/>
        </w:rPr>
        <w:t>17、违约、索赔和争议</w:t>
      </w:r>
      <w:bookmarkEnd w:id="216"/>
      <w:bookmarkEnd w:id="217"/>
      <w:bookmarkEnd w:id="218"/>
      <w:bookmarkEnd w:id="219"/>
      <w:bookmarkEnd w:id="220"/>
    </w:p>
    <w:p>
      <w:pPr>
        <w:pStyle w:val="10"/>
        <w:numPr>
          <w:ilvl w:val="0"/>
          <w:numId w:val="0"/>
        </w:numPr>
        <w:spacing w:before="0" w:after="0" w:line="360" w:lineRule="auto"/>
        <w:rPr>
          <w:b w:val="0"/>
          <w:szCs w:val="24"/>
        </w:rPr>
      </w:pPr>
      <w:bookmarkStart w:id="221" w:name="_Toc89406075"/>
      <w:bookmarkStart w:id="222" w:name="_Toc78944718"/>
      <w:bookmarkStart w:id="223" w:name="_Toc122080403"/>
      <w:bookmarkStart w:id="224" w:name="_Toc465441671"/>
      <w:bookmarkStart w:id="225" w:name="_Toc168739677"/>
      <w:r>
        <w:rPr>
          <w:b w:val="0"/>
          <w:szCs w:val="24"/>
        </w:rPr>
        <w:t>17.1 违约</w:t>
      </w:r>
      <w:bookmarkEnd w:id="221"/>
      <w:bookmarkEnd w:id="222"/>
      <w:bookmarkEnd w:id="223"/>
      <w:bookmarkEnd w:id="224"/>
      <w:bookmarkEnd w:id="225"/>
    </w:p>
    <w:p>
      <w:pPr>
        <w:pStyle w:val="11"/>
        <w:tabs>
          <w:tab w:val="left" w:pos="1440"/>
          <w:tab w:val="left" w:pos="1620"/>
        </w:tabs>
        <w:spacing w:after="0"/>
        <w:ind w:firstLine="480" w:firstLineChars="200"/>
      </w:pPr>
      <w:r>
        <w:t>17.1.1违约责任赔偿的一般规定：</w:t>
      </w:r>
    </w:p>
    <w:p>
      <w:pPr>
        <w:numPr>
          <w:ilvl w:val="0"/>
          <w:numId w:val="3"/>
        </w:numPr>
        <w:spacing w:line="360" w:lineRule="auto"/>
        <w:rPr>
          <w:rFonts w:ascii="Arial" w:hAnsi="Arial" w:cs="Arial"/>
          <w:kern w:val="0"/>
          <w:sz w:val="24"/>
        </w:rPr>
      </w:pPr>
      <w:r>
        <w:rPr>
          <w:rFonts w:ascii="Arial" w:hAnsi="Arial" w:cs="Arial"/>
          <w:kern w:val="0"/>
          <w:sz w:val="24"/>
        </w:rPr>
        <w:t>承包人应为自己的每次违约行为向发包人支付的违约金的最低额度为人民币</w:t>
      </w:r>
      <w:r>
        <w:rPr>
          <w:rFonts w:hint="eastAsia" w:ascii="Arial" w:hAnsi="Arial" w:cs="Arial"/>
          <w:kern w:val="0"/>
          <w:sz w:val="24"/>
          <w:u w:val="single"/>
        </w:rPr>
        <w:t>10000</w:t>
      </w:r>
      <w:r>
        <w:rPr>
          <w:rFonts w:ascii="Arial" w:hAnsi="Arial" w:cs="Arial"/>
          <w:kern w:val="0"/>
          <w:sz w:val="24"/>
        </w:rPr>
        <w:t>元整。</w:t>
      </w:r>
    </w:p>
    <w:p>
      <w:pPr>
        <w:numPr>
          <w:ilvl w:val="0"/>
          <w:numId w:val="3"/>
        </w:numPr>
        <w:spacing w:line="360" w:lineRule="auto"/>
        <w:rPr>
          <w:rFonts w:ascii="Arial" w:hAnsi="Arial" w:cs="Arial"/>
          <w:kern w:val="0"/>
          <w:sz w:val="24"/>
        </w:rPr>
      </w:pPr>
      <w:r>
        <w:rPr>
          <w:rFonts w:ascii="Arial" w:hAnsi="Arial" w:cs="Arial"/>
          <w:kern w:val="0"/>
          <w:sz w:val="24"/>
        </w:rPr>
        <w:t>承包人未按时竣工承包人违约责任约定：</w:t>
      </w:r>
      <w:r>
        <w:rPr>
          <w:rFonts w:hint="eastAsia" w:ascii="Arial" w:hAnsi="Arial" w:cs="Arial"/>
          <w:kern w:val="0"/>
          <w:sz w:val="24"/>
          <w:u w:val="single"/>
        </w:rPr>
        <w:t>按照专用条款9.5执行</w:t>
      </w:r>
      <w:r>
        <w:rPr>
          <w:rFonts w:ascii="Arial" w:hAnsi="Arial" w:cs="Arial"/>
          <w:kern w:val="0"/>
          <w:sz w:val="24"/>
        </w:rPr>
        <w:t>。</w:t>
      </w:r>
    </w:p>
    <w:p>
      <w:pPr>
        <w:numPr>
          <w:ilvl w:val="0"/>
          <w:numId w:val="3"/>
        </w:numPr>
        <w:spacing w:line="360" w:lineRule="auto"/>
        <w:rPr>
          <w:rFonts w:ascii="Arial" w:hAnsi="Arial" w:cs="Arial"/>
          <w:kern w:val="0"/>
          <w:sz w:val="24"/>
        </w:rPr>
      </w:pPr>
      <w:r>
        <w:rPr>
          <w:rFonts w:ascii="Arial" w:hAnsi="Arial" w:cs="Arial"/>
          <w:kern w:val="0"/>
          <w:sz w:val="24"/>
        </w:rPr>
        <w:t>工程质量达不到合同约定的质量标准承包人违约责任约定：</w:t>
      </w:r>
    </w:p>
    <w:p>
      <w:pPr>
        <w:numPr>
          <w:ilvl w:val="0"/>
          <w:numId w:val="4"/>
        </w:numPr>
        <w:spacing w:line="360" w:lineRule="auto"/>
        <w:ind w:left="1701" w:hanging="709"/>
        <w:rPr>
          <w:rFonts w:hint="eastAsia"/>
          <w:sz w:val="24"/>
        </w:rPr>
      </w:pPr>
      <w:r>
        <w:rPr>
          <w:sz w:val="24"/>
          <w:u w:val="single"/>
        </w:rPr>
        <w:t xml:space="preserve">需做防水处理的部分，应严格按照国家规范执行，确保不漏水、不渗水，一旦发现其质量不能符合要求，将处以人民币 </w:t>
      </w:r>
      <w:r>
        <w:rPr>
          <w:rFonts w:hint="eastAsia"/>
          <w:sz w:val="24"/>
          <w:u w:val="single"/>
        </w:rPr>
        <w:t>5000</w:t>
      </w:r>
      <w:r>
        <w:rPr>
          <w:sz w:val="24"/>
          <w:u w:val="single"/>
        </w:rPr>
        <w:t>元/处的罚款，并责令其返工，所需费用均由承包人承担，工期亦不予延长</w:t>
      </w:r>
      <w:r>
        <w:rPr>
          <w:sz w:val="24"/>
        </w:rPr>
        <w:t>。</w:t>
      </w:r>
    </w:p>
    <w:p>
      <w:pPr>
        <w:numPr>
          <w:ilvl w:val="0"/>
          <w:numId w:val="4"/>
        </w:numPr>
        <w:spacing w:line="360" w:lineRule="auto"/>
        <w:rPr>
          <w:sz w:val="24"/>
          <w:u w:val="single"/>
        </w:rPr>
      </w:pPr>
      <w:r>
        <w:rPr>
          <w:rFonts w:hint="eastAsia"/>
          <w:sz w:val="24"/>
        </w:rPr>
        <w:t>其他约定。</w:t>
      </w:r>
    </w:p>
    <w:p>
      <w:pPr>
        <w:numPr>
          <w:ilvl w:val="0"/>
          <w:numId w:val="3"/>
        </w:numPr>
        <w:spacing w:line="360" w:lineRule="auto"/>
        <w:rPr>
          <w:sz w:val="24"/>
          <w:u w:val="single"/>
        </w:rPr>
      </w:pPr>
      <w:r>
        <w:rPr>
          <w:sz w:val="24"/>
          <w:u w:val="single"/>
        </w:rPr>
        <w:t xml:space="preserve">在施工过程中，凡违反发包人合同中规定的相关管理要求、质量要求、技术要求及发包人制定的各项现场管理细则时，而该条款未注明具体的处罚措施的，发包人有权处以人民币 </w:t>
      </w:r>
      <w:r>
        <w:rPr>
          <w:rFonts w:hint="eastAsia"/>
          <w:sz w:val="24"/>
          <w:u w:val="single"/>
        </w:rPr>
        <w:t>壹万</w:t>
      </w:r>
      <w:r>
        <w:rPr>
          <w:sz w:val="24"/>
          <w:u w:val="single"/>
        </w:rPr>
        <w:t xml:space="preserve"> 元的违约处罚，在同期支付的工程款中扣除。</w:t>
      </w:r>
    </w:p>
    <w:p>
      <w:pPr>
        <w:numPr>
          <w:ilvl w:val="0"/>
          <w:numId w:val="3"/>
        </w:numPr>
        <w:spacing w:line="360" w:lineRule="auto"/>
        <w:rPr>
          <w:sz w:val="24"/>
          <w:u w:val="single"/>
        </w:rPr>
      </w:pPr>
      <w:r>
        <w:rPr>
          <w:sz w:val="24"/>
          <w:u w:val="single"/>
        </w:rPr>
        <w:t>在本工程施工过程中以及质量保修期内，由于承包人施工质量问题、安全事故</w:t>
      </w:r>
      <w:r>
        <w:rPr>
          <w:rFonts w:hint="eastAsia"/>
          <w:sz w:val="24"/>
          <w:u w:val="single"/>
        </w:rPr>
        <w:t>、劳资纠纷</w:t>
      </w:r>
      <w:r>
        <w:rPr>
          <w:sz w:val="24"/>
          <w:u w:val="single"/>
        </w:rPr>
        <w:t>或者其他原因，受到报纸、电视等媒体的曝光或政府有关主管部门的通报批评，给发包人的形象和声誉造成损失，每次由承包人向发包人支付</w:t>
      </w:r>
      <w:r>
        <w:rPr>
          <w:rFonts w:hint="eastAsia"/>
          <w:sz w:val="24"/>
          <w:u w:val="single"/>
        </w:rPr>
        <w:t>壹拾</w:t>
      </w:r>
      <w:r>
        <w:rPr>
          <w:sz w:val="24"/>
          <w:u w:val="single"/>
        </w:rPr>
        <w:t>万元违约金，从承包人工程进度款或保修款中扣除。</w:t>
      </w:r>
    </w:p>
    <w:p>
      <w:pPr>
        <w:numPr>
          <w:ilvl w:val="0"/>
          <w:numId w:val="3"/>
        </w:numPr>
        <w:spacing w:line="360" w:lineRule="auto"/>
        <w:rPr>
          <w:sz w:val="24"/>
        </w:rPr>
      </w:pPr>
      <w:r>
        <w:rPr>
          <w:sz w:val="24"/>
        </w:rPr>
        <w:t>承包人不得向发包人任何人员贿赂，或以其它不正当的方式损害发包人利益，否则，一经发现，承包人向发包人支付违约金</w:t>
      </w:r>
      <w:r>
        <w:rPr>
          <w:sz w:val="24"/>
          <w:u w:val="single"/>
        </w:rPr>
        <w:t xml:space="preserve"> </w:t>
      </w:r>
      <w:r>
        <w:rPr>
          <w:rFonts w:hint="eastAsia"/>
          <w:sz w:val="24"/>
          <w:u w:val="single"/>
        </w:rPr>
        <w:t>壹拾</w:t>
      </w:r>
      <w:r>
        <w:rPr>
          <w:sz w:val="24"/>
          <w:u w:val="single"/>
        </w:rPr>
        <w:t xml:space="preserve"> </w:t>
      </w:r>
      <w:r>
        <w:rPr>
          <w:sz w:val="24"/>
        </w:rPr>
        <w:t>万元/人次，同时承包人应承担由此造成的一切后果。</w:t>
      </w:r>
    </w:p>
    <w:p>
      <w:pPr>
        <w:numPr>
          <w:ilvl w:val="0"/>
          <w:numId w:val="3"/>
        </w:numPr>
        <w:spacing w:line="360" w:lineRule="auto"/>
        <w:rPr>
          <w:sz w:val="24"/>
        </w:rPr>
      </w:pPr>
      <w:r>
        <w:rPr>
          <w:rFonts w:hint="eastAsia"/>
          <w:sz w:val="24"/>
        </w:rPr>
        <w:t>因承包人原因造成现场安全事故，由承包人承担全部法律责任，不得因此对工程工期及发包人形象造成任何损毁，否则承包人需向发包人支付违约金人民币壹拾万元整。</w:t>
      </w:r>
    </w:p>
    <w:p>
      <w:pPr>
        <w:numPr>
          <w:ilvl w:val="0"/>
          <w:numId w:val="3"/>
        </w:numPr>
        <w:spacing w:line="360" w:lineRule="auto"/>
        <w:rPr>
          <w:sz w:val="24"/>
        </w:rPr>
      </w:pPr>
      <w:r>
        <w:rPr>
          <w:sz w:val="24"/>
        </w:rPr>
        <w:t>承包人在移交工程的同时，未能向发包人提交竣工资料及其它资料的，每迟延一天，承包人应向发包人支付违约金</w:t>
      </w:r>
      <w:r>
        <w:rPr>
          <w:sz w:val="24"/>
          <w:u w:val="single"/>
        </w:rPr>
        <w:t xml:space="preserve"> </w:t>
      </w:r>
      <w:r>
        <w:rPr>
          <w:rFonts w:hint="eastAsia"/>
          <w:sz w:val="24"/>
          <w:u w:val="single"/>
        </w:rPr>
        <w:t>壹万</w:t>
      </w:r>
      <w:r>
        <w:rPr>
          <w:sz w:val="24"/>
          <w:u w:val="single"/>
        </w:rPr>
        <w:t xml:space="preserve"> </w:t>
      </w:r>
      <w:r>
        <w:rPr>
          <w:sz w:val="24"/>
        </w:rPr>
        <w:t>元。</w:t>
      </w:r>
    </w:p>
    <w:p>
      <w:pPr>
        <w:numPr>
          <w:ilvl w:val="0"/>
          <w:numId w:val="3"/>
        </w:numPr>
        <w:spacing w:line="360" w:lineRule="auto"/>
        <w:rPr>
          <w:sz w:val="24"/>
        </w:rPr>
      </w:pPr>
      <w:r>
        <w:rPr>
          <w:sz w:val="24"/>
        </w:rPr>
        <w:t>承包人不得以发包人未及时对材料进行认价原因而拖延工期，否则拖延工期不予顺延。</w:t>
      </w:r>
    </w:p>
    <w:p>
      <w:pPr>
        <w:spacing w:line="360" w:lineRule="auto"/>
        <w:ind w:left="1319" w:leftChars="228" w:hanging="840" w:hangingChars="350"/>
        <w:rPr>
          <w:sz w:val="24"/>
        </w:rPr>
      </w:pPr>
      <w:r>
        <w:rPr>
          <w:sz w:val="24"/>
        </w:rPr>
        <w:t>17.1.2 若承包人(包括其自行分包人)有拖欠、克扣工人劳动报酬行为的，发包人可根据情节轻重对其处以每次人民币</w:t>
      </w:r>
      <w:r>
        <w:rPr>
          <w:rFonts w:hint="eastAsia"/>
          <w:sz w:val="24"/>
          <w:u w:val="single"/>
        </w:rPr>
        <w:t>贰拾</w:t>
      </w:r>
      <w:r>
        <w:rPr>
          <w:sz w:val="24"/>
          <w:u w:val="single"/>
        </w:rPr>
        <w:t>万</w:t>
      </w:r>
      <w:r>
        <w:rPr>
          <w:sz w:val="24"/>
        </w:rPr>
        <w:t>元罚款。</w:t>
      </w:r>
    </w:p>
    <w:p>
      <w:pPr>
        <w:pStyle w:val="10"/>
        <w:numPr>
          <w:ilvl w:val="0"/>
          <w:numId w:val="0"/>
        </w:numPr>
        <w:spacing w:before="0" w:after="0" w:line="360" w:lineRule="auto"/>
        <w:rPr>
          <w:b w:val="0"/>
          <w:szCs w:val="24"/>
        </w:rPr>
      </w:pPr>
      <w:bookmarkStart w:id="226" w:name="_Toc78944720"/>
      <w:bookmarkStart w:id="227" w:name="_Toc168739679"/>
      <w:bookmarkStart w:id="228" w:name="_Toc122080405"/>
      <w:bookmarkStart w:id="229" w:name="_Toc89406077"/>
      <w:bookmarkStart w:id="230" w:name="_Toc465441672"/>
      <w:r>
        <w:rPr>
          <w:b w:val="0"/>
          <w:szCs w:val="24"/>
        </w:rPr>
        <w:t>17.3 争议</w:t>
      </w:r>
      <w:bookmarkEnd w:id="226"/>
      <w:bookmarkEnd w:id="227"/>
      <w:bookmarkEnd w:id="228"/>
      <w:bookmarkEnd w:id="229"/>
      <w:bookmarkEnd w:id="230"/>
    </w:p>
    <w:p>
      <w:pPr>
        <w:spacing w:line="360" w:lineRule="auto"/>
        <w:ind w:firstLine="480" w:firstLineChars="200"/>
        <w:rPr>
          <w:sz w:val="24"/>
        </w:rPr>
      </w:pPr>
      <w:r>
        <w:rPr>
          <w:sz w:val="24"/>
        </w:rPr>
        <w:t>17.3.1争议解决方式：</w:t>
      </w:r>
      <w:r>
        <w:rPr>
          <w:sz w:val="24"/>
          <w:u w:val="single"/>
        </w:rPr>
        <w:t xml:space="preserve">   </w:t>
      </w:r>
      <w:r>
        <w:rPr>
          <w:rFonts w:hint="eastAsia"/>
          <w:sz w:val="24"/>
          <w:u w:val="single"/>
        </w:rPr>
        <w:t>同通用条款</w:t>
      </w:r>
      <w:r>
        <w:rPr>
          <w:sz w:val="24"/>
          <w:u w:val="single"/>
        </w:rPr>
        <w:t xml:space="preserve">      </w:t>
      </w:r>
      <w:r>
        <w:rPr>
          <w:sz w:val="24"/>
        </w:rPr>
        <w:t>。</w:t>
      </w:r>
    </w:p>
    <w:p>
      <w:pPr>
        <w:pStyle w:val="2"/>
        <w:spacing w:before="0" w:after="0" w:line="360" w:lineRule="auto"/>
        <w:rPr>
          <w:b/>
          <w:sz w:val="24"/>
          <w:szCs w:val="24"/>
        </w:rPr>
      </w:pPr>
      <w:bookmarkStart w:id="231" w:name="_Toc78944721"/>
      <w:bookmarkStart w:id="232" w:name="_Toc89406078"/>
      <w:bookmarkStart w:id="233" w:name="_Toc122080406"/>
      <w:bookmarkStart w:id="234" w:name="_Toc168739680"/>
      <w:bookmarkStart w:id="235" w:name="_Toc465441673"/>
      <w:r>
        <w:rPr>
          <w:b/>
          <w:sz w:val="24"/>
          <w:szCs w:val="24"/>
        </w:rPr>
        <w:t>18、不可抗力</w:t>
      </w:r>
      <w:bookmarkEnd w:id="231"/>
      <w:bookmarkEnd w:id="232"/>
      <w:bookmarkEnd w:id="233"/>
      <w:bookmarkEnd w:id="234"/>
      <w:bookmarkEnd w:id="235"/>
    </w:p>
    <w:p>
      <w:pPr>
        <w:pStyle w:val="10"/>
        <w:numPr>
          <w:ilvl w:val="0"/>
          <w:numId w:val="0"/>
        </w:numPr>
        <w:spacing w:before="0" w:after="0" w:line="360" w:lineRule="auto"/>
        <w:rPr>
          <w:b w:val="0"/>
          <w:szCs w:val="24"/>
        </w:rPr>
      </w:pPr>
      <w:bookmarkStart w:id="236" w:name="_Toc465441674"/>
      <w:bookmarkStart w:id="237" w:name="_Toc168739681"/>
      <w:bookmarkStart w:id="238" w:name="_Toc122080407"/>
      <w:bookmarkStart w:id="239" w:name="_Toc78944722"/>
      <w:bookmarkStart w:id="240" w:name="_Toc89406079"/>
      <w:r>
        <w:rPr>
          <w:b w:val="0"/>
          <w:szCs w:val="24"/>
        </w:rPr>
        <w:t>18.1 不可抗力</w:t>
      </w:r>
      <w:bookmarkEnd w:id="236"/>
      <w:bookmarkEnd w:id="237"/>
      <w:bookmarkEnd w:id="238"/>
      <w:bookmarkEnd w:id="239"/>
      <w:bookmarkEnd w:id="240"/>
    </w:p>
    <w:p>
      <w:pPr>
        <w:spacing w:line="360" w:lineRule="auto"/>
        <w:ind w:firstLine="240" w:firstLineChars="100"/>
        <w:rPr>
          <w:sz w:val="24"/>
        </w:rPr>
      </w:pPr>
      <w:r>
        <w:rPr>
          <w:sz w:val="24"/>
        </w:rPr>
        <w:t>18.1.2发包人、承包人约定的其他不可抗力：</w:t>
      </w:r>
    </w:p>
    <w:p>
      <w:pPr>
        <w:spacing w:line="360" w:lineRule="auto"/>
        <w:ind w:left="1478" w:leftChars="475" w:hanging="480" w:hangingChars="200"/>
        <w:rPr>
          <w:sz w:val="24"/>
        </w:rPr>
      </w:pPr>
      <w:bookmarkStart w:id="241" w:name="_Toc78944725"/>
      <w:bookmarkStart w:id="242" w:name="_Toc89406082"/>
      <w:bookmarkStart w:id="243" w:name="_Toc168739682"/>
      <w:bookmarkStart w:id="244" w:name="_Toc122080408"/>
      <w:r>
        <w:rPr>
          <w:sz w:val="24"/>
        </w:rPr>
        <w:t>(1)</w:t>
      </w:r>
      <w:r>
        <w:rPr>
          <w:sz w:val="24"/>
          <w:u w:val="single"/>
        </w:rPr>
        <w:t xml:space="preserve">   </w:t>
      </w:r>
      <w:r>
        <w:rPr>
          <w:rFonts w:hint="eastAsia"/>
          <w:sz w:val="24"/>
          <w:u w:val="single"/>
        </w:rPr>
        <w:t>无</w:t>
      </w:r>
      <w:r>
        <w:rPr>
          <w:sz w:val="24"/>
          <w:u w:val="single"/>
        </w:rPr>
        <w:t xml:space="preserve">     </w:t>
      </w:r>
      <w:r>
        <w:rPr>
          <w:sz w:val="24"/>
        </w:rPr>
        <w:t>；</w:t>
      </w:r>
    </w:p>
    <w:p>
      <w:pPr>
        <w:pStyle w:val="2"/>
        <w:spacing w:before="0" w:after="0" w:line="360" w:lineRule="auto"/>
        <w:rPr>
          <w:b/>
          <w:sz w:val="24"/>
          <w:szCs w:val="24"/>
        </w:rPr>
      </w:pPr>
      <w:bookmarkStart w:id="245" w:name="_Toc465441675"/>
      <w:r>
        <w:rPr>
          <w:b/>
          <w:sz w:val="24"/>
          <w:szCs w:val="24"/>
        </w:rPr>
        <w:t>19、工程保险</w:t>
      </w:r>
      <w:bookmarkEnd w:id="241"/>
      <w:bookmarkEnd w:id="242"/>
      <w:bookmarkEnd w:id="243"/>
      <w:bookmarkEnd w:id="244"/>
      <w:bookmarkEnd w:id="245"/>
    </w:p>
    <w:p>
      <w:pPr>
        <w:pStyle w:val="10"/>
        <w:numPr>
          <w:ilvl w:val="0"/>
          <w:numId w:val="0"/>
        </w:numPr>
        <w:spacing w:before="0" w:after="0" w:line="360" w:lineRule="auto"/>
        <w:rPr>
          <w:rFonts w:hint="eastAsia"/>
          <w:b w:val="0"/>
          <w:szCs w:val="24"/>
        </w:rPr>
      </w:pPr>
      <w:bookmarkStart w:id="246" w:name="_Toc168739683"/>
      <w:bookmarkStart w:id="247" w:name="_Toc122080409"/>
      <w:bookmarkStart w:id="248" w:name="_Toc465441676"/>
      <w:r>
        <w:rPr>
          <w:b w:val="0"/>
          <w:szCs w:val="24"/>
        </w:rPr>
        <w:t>19.</w:t>
      </w:r>
      <w:r>
        <w:rPr>
          <w:rFonts w:hint="eastAsia"/>
          <w:b w:val="0"/>
          <w:szCs w:val="24"/>
        </w:rPr>
        <w:t>1</w:t>
      </w:r>
      <w:r>
        <w:rPr>
          <w:b w:val="0"/>
          <w:szCs w:val="24"/>
        </w:rPr>
        <w:t xml:space="preserve"> </w:t>
      </w:r>
      <w:bookmarkEnd w:id="246"/>
      <w:bookmarkEnd w:id="247"/>
      <w:bookmarkStart w:id="249" w:name="_Toc89406084"/>
      <w:bookmarkStart w:id="250" w:name="_Toc78944727"/>
      <w:r>
        <w:rPr>
          <w:rFonts w:hint="eastAsia"/>
          <w:b w:val="0"/>
          <w:szCs w:val="24"/>
        </w:rPr>
        <w:t>建筑工程</w:t>
      </w:r>
      <w:r>
        <w:t>第三方责任险</w:t>
      </w:r>
      <w:bookmarkEnd w:id="248"/>
    </w:p>
    <w:p>
      <w:pPr>
        <w:pStyle w:val="11"/>
        <w:tabs>
          <w:tab w:val="left" w:pos="1440"/>
          <w:tab w:val="left" w:pos="1620"/>
        </w:tabs>
        <w:spacing w:after="0"/>
        <w:ind w:left="1016" w:leftChars="84" w:hanging="840" w:hangingChars="350"/>
      </w:pPr>
      <w:r>
        <w:t>19.1.1 第三方责任险的每次事故最高赔偿限额不少于人民币</w:t>
      </w:r>
      <w:r>
        <w:rPr>
          <w:rFonts w:hint="eastAsia"/>
          <w:u w:val="single"/>
        </w:rPr>
        <w:t>贰拾</w:t>
      </w:r>
      <w:r>
        <w:rPr>
          <w:u w:val="single"/>
        </w:rPr>
        <w:t xml:space="preserve"> </w:t>
      </w:r>
      <w:r>
        <w:t xml:space="preserve">万元。 </w:t>
      </w:r>
    </w:p>
    <w:p>
      <w:pPr>
        <w:pStyle w:val="10"/>
        <w:numPr>
          <w:ilvl w:val="0"/>
          <w:numId w:val="0"/>
        </w:numPr>
        <w:spacing w:before="0" w:after="0" w:line="360" w:lineRule="auto"/>
        <w:rPr>
          <w:b w:val="0"/>
          <w:szCs w:val="24"/>
        </w:rPr>
      </w:pPr>
      <w:bookmarkStart w:id="251" w:name="_Toc168739686"/>
      <w:bookmarkStart w:id="252" w:name="_Toc465441677"/>
      <w:bookmarkStart w:id="253" w:name="_Toc122080412"/>
      <w:r>
        <w:rPr>
          <w:b w:val="0"/>
          <w:szCs w:val="24"/>
        </w:rPr>
        <w:t>19.</w:t>
      </w:r>
      <w:r>
        <w:rPr>
          <w:rFonts w:hint="eastAsia"/>
          <w:b w:val="0"/>
          <w:szCs w:val="24"/>
        </w:rPr>
        <w:t>2</w:t>
      </w:r>
      <w:r>
        <w:rPr>
          <w:b w:val="0"/>
          <w:szCs w:val="24"/>
        </w:rPr>
        <w:t xml:space="preserve"> 施工人员及施工机械设备保险</w:t>
      </w:r>
      <w:bookmarkEnd w:id="251"/>
      <w:bookmarkEnd w:id="252"/>
      <w:bookmarkEnd w:id="253"/>
    </w:p>
    <w:p>
      <w:pPr>
        <w:spacing w:line="360" w:lineRule="auto"/>
        <w:ind w:firstLine="840" w:firstLineChars="350"/>
        <w:rPr>
          <w:sz w:val="24"/>
        </w:rPr>
      </w:pPr>
      <w:r>
        <w:rPr>
          <w:sz w:val="24"/>
        </w:rPr>
        <w:t>同通用条款。</w:t>
      </w:r>
    </w:p>
    <w:bookmarkEnd w:id="249"/>
    <w:bookmarkEnd w:id="250"/>
    <w:p>
      <w:pPr>
        <w:pStyle w:val="2"/>
        <w:spacing w:before="0" w:after="0" w:line="360" w:lineRule="auto"/>
        <w:rPr>
          <w:rFonts w:hint="eastAsia"/>
          <w:b/>
          <w:sz w:val="24"/>
          <w:szCs w:val="24"/>
        </w:rPr>
      </w:pPr>
      <w:bookmarkStart w:id="254" w:name="_Toc471834452"/>
      <w:bookmarkStart w:id="255" w:name="_Toc122080413"/>
      <w:bookmarkStart w:id="256" w:name="_Toc168739687"/>
      <w:bookmarkStart w:id="257" w:name="_Toc89406085"/>
      <w:bookmarkStart w:id="258" w:name="_Toc78944728"/>
      <w:bookmarkStart w:id="259" w:name="_Toc122080414"/>
      <w:bookmarkStart w:id="260" w:name="_Toc465441680"/>
      <w:bookmarkStart w:id="261" w:name="_Toc168739688"/>
      <w:r>
        <w:rPr>
          <w:b/>
          <w:sz w:val="24"/>
          <w:szCs w:val="24"/>
        </w:rPr>
        <w:t>20、工程担保</w:t>
      </w:r>
      <w:bookmarkEnd w:id="254"/>
      <w:bookmarkEnd w:id="255"/>
      <w:bookmarkEnd w:id="256"/>
    </w:p>
    <w:p>
      <w:pPr>
        <w:pStyle w:val="10"/>
        <w:numPr>
          <w:ilvl w:val="0"/>
          <w:numId w:val="0"/>
        </w:numPr>
        <w:spacing w:before="0" w:after="0" w:line="360" w:lineRule="auto"/>
        <w:rPr>
          <w:b w:val="0"/>
          <w:szCs w:val="24"/>
        </w:rPr>
      </w:pPr>
      <w:bookmarkStart w:id="262" w:name="_Toc357434500"/>
      <w:bookmarkStart w:id="263" w:name="_Toc471834453"/>
      <w:bookmarkStart w:id="264" w:name="_Toc454555645"/>
      <w:bookmarkStart w:id="265" w:name="_Toc118634667"/>
      <w:r>
        <w:rPr>
          <w:b w:val="0"/>
          <w:szCs w:val="24"/>
        </w:rPr>
        <w:t>20.1、履约担保</w:t>
      </w:r>
      <w:bookmarkEnd w:id="262"/>
      <w:bookmarkEnd w:id="263"/>
      <w:bookmarkEnd w:id="264"/>
      <w:bookmarkEnd w:id="265"/>
      <w:r>
        <w:rPr>
          <w:rFonts w:hint="eastAsia"/>
          <w:b w:val="0"/>
          <w:szCs w:val="24"/>
        </w:rPr>
        <w:t>:</w:t>
      </w:r>
      <w:r>
        <w:rPr>
          <w:rFonts w:hint="eastAsia"/>
        </w:rPr>
        <w:t xml:space="preserve"> </w:t>
      </w:r>
      <w:r>
        <w:rPr>
          <w:rFonts w:hint="eastAsia"/>
          <w:b w:val="0"/>
          <w:szCs w:val="24"/>
        </w:rPr>
        <w:t>本工程履约保证金</w:t>
      </w:r>
      <w:r>
        <w:rPr>
          <w:rFonts w:hint="eastAsia"/>
          <w:b w:val="0"/>
          <w:szCs w:val="24"/>
          <w:u w:val="single"/>
          <w:lang w:val="en-US" w:eastAsia="zh-CN"/>
        </w:rPr>
        <w:t xml:space="preserve"> 20 </w:t>
      </w:r>
      <w:r>
        <w:rPr>
          <w:rFonts w:hint="eastAsia"/>
          <w:b w:val="0"/>
          <w:szCs w:val="24"/>
          <w:lang w:val="en-US" w:eastAsia="zh-CN"/>
        </w:rPr>
        <w:t>万元（大写：贰拾万元整）</w:t>
      </w:r>
      <w:r>
        <w:rPr>
          <w:rFonts w:hint="eastAsia"/>
          <w:b w:val="0"/>
          <w:szCs w:val="24"/>
        </w:rPr>
        <w:t>。</w:t>
      </w:r>
    </w:p>
    <w:p>
      <w:pPr>
        <w:pStyle w:val="2"/>
        <w:spacing w:before="0" w:after="0" w:line="360" w:lineRule="auto"/>
        <w:rPr>
          <w:b/>
          <w:sz w:val="24"/>
          <w:szCs w:val="24"/>
        </w:rPr>
      </w:pPr>
      <w:r>
        <w:rPr>
          <w:b/>
          <w:sz w:val="24"/>
          <w:szCs w:val="24"/>
        </w:rPr>
        <w:t>21、合同的生效、终止和解除</w:t>
      </w:r>
      <w:bookmarkEnd w:id="257"/>
      <w:bookmarkEnd w:id="258"/>
      <w:bookmarkEnd w:id="259"/>
      <w:bookmarkEnd w:id="260"/>
      <w:bookmarkEnd w:id="261"/>
    </w:p>
    <w:p>
      <w:pPr>
        <w:pStyle w:val="10"/>
        <w:numPr>
          <w:ilvl w:val="0"/>
          <w:numId w:val="0"/>
        </w:numPr>
        <w:spacing w:before="0" w:after="0" w:line="360" w:lineRule="auto"/>
        <w:rPr>
          <w:b w:val="0"/>
          <w:szCs w:val="24"/>
        </w:rPr>
      </w:pPr>
      <w:bookmarkStart w:id="266" w:name="_Toc168739691"/>
      <w:bookmarkStart w:id="267" w:name="_Toc122080417"/>
      <w:bookmarkStart w:id="268" w:name="_Toc465441681"/>
      <w:bookmarkStart w:id="269" w:name="_Toc78944731"/>
      <w:bookmarkStart w:id="270" w:name="_Toc89406088"/>
      <w:r>
        <w:rPr>
          <w:b w:val="0"/>
          <w:szCs w:val="24"/>
        </w:rPr>
        <w:t>21.3 合同</w:t>
      </w:r>
      <w:r>
        <w:rPr>
          <w:rFonts w:hint="eastAsia"/>
          <w:b w:val="0"/>
          <w:szCs w:val="24"/>
        </w:rPr>
        <w:t>效力</w:t>
      </w:r>
      <w:r>
        <w:rPr>
          <w:b w:val="0"/>
          <w:szCs w:val="24"/>
        </w:rPr>
        <w:t>及份数</w:t>
      </w:r>
      <w:bookmarkEnd w:id="266"/>
      <w:bookmarkEnd w:id="267"/>
      <w:bookmarkEnd w:id="268"/>
      <w:bookmarkEnd w:id="269"/>
      <w:bookmarkEnd w:id="270"/>
    </w:p>
    <w:p>
      <w:pPr>
        <w:spacing w:line="360" w:lineRule="auto"/>
        <w:ind w:firstLine="240" w:firstLineChars="100"/>
        <w:rPr>
          <w:sz w:val="24"/>
        </w:rPr>
      </w:pPr>
      <w:bookmarkStart w:id="271" w:name="_Toc351542616"/>
      <w:r>
        <w:rPr>
          <w:sz w:val="24"/>
        </w:rPr>
        <w:t>21.3.1合同正本份数：</w:t>
      </w:r>
      <w:r>
        <w:rPr>
          <w:rFonts w:hint="eastAsia"/>
          <w:sz w:val="24"/>
        </w:rPr>
        <w:t>详见合同协议书</w:t>
      </w:r>
      <w:r>
        <w:rPr>
          <w:sz w:val="24"/>
        </w:rPr>
        <w:t>。</w:t>
      </w:r>
      <w:bookmarkEnd w:id="271"/>
    </w:p>
    <w:p>
      <w:pPr>
        <w:spacing w:line="360" w:lineRule="auto"/>
        <w:ind w:firstLine="240" w:firstLineChars="100"/>
        <w:rPr>
          <w:rFonts w:hint="eastAsia"/>
          <w:sz w:val="24"/>
        </w:rPr>
      </w:pPr>
      <w:r>
        <w:rPr>
          <w:sz w:val="24"/>
        </w:rPr>
        <w:t>21.3.2合同副本份数：</w:t>
      </w:r>
      <w:r>
        <w:rPr>
          <w:rFonts w:hint="eastAsia"/>
          <w:sz w:val="24"/>
        </w:rPr>
        <w:t>详见合同协议书</w:t>
      </w:r>
      <w:r>
        <w:rPr>
          <w:sz w:val="24"/>
        </w:rPr>
        <w:t>。</w:t>
      </w:r>
    </w:p>
    <w:p/>
    <w:sectPr>
      <w:footerReference r:id="rId9" w:type="first"/>
      <w:footerReference r:id="rId8" w:type="default"/>
      <w:pgSz w:w="11906" w:h="16838"/>
      <w:pgMar w:top="1440" w:right="1797" w:bottom="1440" w:left="1797" w:header="777" w:footer="680" w:gutter="0"/>
      <w:pgNumType w:start="1"/>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细黑">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lang w:val="zh-CN"/>
      </w:rPr>
      <w:t xml:space="preserve"> </w:t>
    </w:r>
    <w:r>
      <w:fldChar w:fldCharType="begin"/>
    </w:r>
    <w:r>
      <w:instrText xml:space="preserve"> PAGE </w:instrText>
    </w:r>
    <w:r>
      <w:fldChar w:fldCharType="separate"/>
    </w:r>
    <w:r>
      <w:t>2</w:t>
    </w:r>
    <w:r>
      <w:fldChar w:fldCharType="end"/>
    </w:r>
    <w:r>
      <w:rPr>
        <w:lang w:val="zh-CN"/>
      </w:rPr>
      <w:t xml:space="preserve"> / </w:t>
    </w:r>
    <w:r>
      <w:fldChar w:fldCharType="begin"/>
    </w:r>
    <w:r>
      <w:instrText xml:space="preserve"> NUMPAGES  </w:instrText>
    </w:r>
    <w:r>
      <w:fldChar w:fldCharType="separate"/>
    </w:r>
    <w:r>
      <w:t>14</w:t>
    </w:r>
    <w: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lang w:val="zh-CN"/>
      </w:rPr>
      <w:t xml:space="preserve"> </w:t>
    </w:r>
    <w:r>
      <w:fldChar w:fldCharType="begin"/>
    </w:r>
    <w:r>
      <w:instrText xml:space="preserve"> PAGE </w:instrText>
    </w:r>
    <w:r>
      <w:fldChar w:fldCharType="separate"/>
    </w:r>
    <w:r>
      <w:t>1</w:t>
    </w:r>
    <w:r>
      <w:fldChar w:fldCharType="end"/>
    </w:r>
    <w:r>
      <w:rPr>
        <w:lang w:val="zh-CN"/>
      </w:rPr>
      <w:t xml:space="preserve"> / </w:t>
    </w:r>
    <w:r>
      <w:fldChar w:fldCharType="begin"/>
    </w:r>
    <w:r>
      <w:instrText xml:space="preserve"> NUMPAGES  </w:instrText>
    </w:r>
    <w:r>
      <w:fldChar w:fldCharType="separate"/>
    </w:r>
    <w:r>
      <w:t>14</w:t>
    </w:r>
    <w:r>
      <w:fldChar w:fldCharType="end"/>
    </w:r>
  </w:p>
  <w:p>
    <w:pPr>
      <w:pStyle w:val="5"/>
      <w:jc w:val="center"/>
      <w:rPr>
        <w:rFonts w:hint="eastAsia"/>
        <w:lang w:eastAsia="zh-CN"/>
      </w:rPr>
    </w:pP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14</w:t>
    </w:r>
    <w:r>
      <w:rPr>
        <w:lang w:val="zh-CN"/>
      </w:rPr>
      <w:t xml:space="preserve">/ </w:t>
    </w:r>
    <w:r>
      <w:fldChar w:fldCharType="begin"/>
    </w:r>
    <w:r>
      <w:instrText xml:space="preserve"> NUMPAGES  </w:instrText>
    </w:r>
    <w:r>
      <w:fldChar w:fldCharType="separate"/>
    </w:r>
    <w:r>
      <w:t>14</w:t>
    </w:r>
    <w:r>
      <w:fldChar w:fldCharType="end"/>
    </w:r>
  </w:p>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lang w:val="zh-CN"/>
      </w:rPr>
      <w:t xml:space="preserve"> </w:t>
    </w:r>
    <w:r>
      <w:rPr>
        <w:rFonts w:hint="eastAsia"/>
      </w:rPr>
      <w:t>3</w:t>
    </w:r>
    <w:r>
      <w:rPr>
        <w:lang w:val="zh-CN"/>
      </w:rPr>
      <w:t xml:space="preserve">/ </w:t>
    </w:r>
    <w:r>
      <w:fldChar w:fldCharType="begin"/>
    </w:r>
    <w:r>
      <w:instrText xml:space="preserve"> NUMPAGES  </w:instrText>
    </w:r>
    <w:r>
      <w:fldChar w:fldCharType="separate"/>
    </w:r>
    <w:r>
      <w:t>14</w: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wordWrap w:val="0"/>
      <w:ind w:right="360"/>
      <w:jc w:val="right"/>
      <w:rPr>
        <w:rFonts w:hint="eastAsia"/>
        <w:color w:val="000000"/>
        <w:kern w:val="0"/>
        <w:sz w:val="21"/>
        <w:szCs w:val="21"/>
      </w:rPr>
    </w:pPr>
    <w:r>
      <w:rPr>
        <w:rFonts w:hint="eastAsia"/>
        <w:color w:val="000000"/>
        <w:kern w:val="0"/>
        <w:sz w:val="21"/>
        <w:szCs w:val="21"/>
      </w:rPr>
      <w:t>专用条款</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PowerPlusWaterMarkObject2413539" o:spid="_x0000_s4097" o:spt="136" type="#_x0000_t136" style="position:absolute;left:0pt;height:120.75pt;width:300pt;mso-position-horizontal:center;mso-position-horizontal-relative:margin;mso-position-vertical:center;mso-position-vertical-relative:margin;rotation:20643840f;z-index:-251658240;mso-width-relative:page;mso-height-relative:page;" fillcolor="#C0C0C0" filled="t" stroked="f" coordsize="21600,21600" o:allowincell="f">
          <v:path/>
          <v:fill on="t" opacity="32768f" focussize="0,0"/>
          <v:stroke on="f"/>
          <v:imagedata o:title=""/>
          <o:lock v:ext="edit"/>
          <v:textpath on="t" fitshape="t" fitpath="t" trim="t" xscale="f" string="SUNAC" style="font-family:宋体;font-size:96pt;v-same-letter-heights:f;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wordWrap w:val="0"/>
      <w:ind w:right="360"/>
      <w:jc w:val="right"/>
      <w:rPr>
        <w:rFonts w:hint="eastAsia"/>
        <w:color w:val="000000"/>
        <w:kern w:val="0"/>
        <w:sz w:val="21"/>
        <w:szCs w:val="21"/>
      </w:rPr>
    </w:pPr>
    <w:r>
      <w:rPr>
        <w:rFonts w:hint="eastAsia"/>
        <w:sz w:val="21"/>
        <w:szCs w:val="21"/>
      </w:rPr>
      <w:t>专用条款</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00B90"/>
    <w:multiLevelType w:val="multilevel"/>
    <w:tmpl w:val="08B00B90"/>
    <w:lvl w:ilvl="0" w:tentative="0">
      <w:start w:val="1"/>
      <w:numFmt w:val="decimal"/>
      <w:lvlText w:val="%1)"/>
      <w:lvlJc w:val="left"/>
      <w:pPr>
        <w:ind w:left="1129" w:hanging="420"/>
      </w:pPr>
      <w:rPr>
        <w:rFonts w:hint="default" w:ascii="Times New Roman" w:hAnsi="Times New Roman" w:cs="Times New Roman"/>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1">
    <w:nsid w:val="332B27A3"/>
    <w:multiLevelType w:val="multilevel"/>
    <w:tmpl w:val="332B27A3"/>
    <w:lvl w:ilvl="0" w:tentative="0">
      <w:start w:val="1"/>
      <w:numFmt w:val="lowerRoman"/>
      <w:lvlText w:val="（%1）"/>
      <w:lvlJc w:val="left"/>
      <w:pPr>
        <w:ind w:left="2072" w:hanging="1080"/>
      </w:pPr>
      <w:rPr>
        <w:rFonts w:hint="default"/>
      </w:r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2">
    <w:nsid w:val="414C321A"/>
    <w:multiLevelType w:val="multilevel"/>
    <w:tmpl w:val="414C321A"/>
    <w:lvl w:ilvl="0" w:tentative="0">
      <w:start w:val="1"/>
      <w:numFmt w:val="decimal"/>
      <w:pStyle w:val="10"/>
      <w:lvlText w:val="%1."/>
      <w:lvlJc w:val="left"/>
      <w:pPr>
        <w:tabs>
          <w:tab w:val="left" w:pos="420"/>
        </w:tabs>
        <w:ind w:left="420" w:hanging="42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3">
    <w:nsid w:val="67E6338C"/>
    <w:multiLevelType w:val="multilevel"/>
    <w:tmpl w:val="67E6338C"/>
    <w:lvl w:ilvl="0" w:tentative="0">
      <w:start w:val="1"/>
      <w:numFmt w:val="decimal"/>
      <w:lvlText w:val="%1)"/>
      <w:lvlJc w:val="left"/>
      <w:pPr>
        <w:ind w:left="1129" w:hanging="420"/>
      </w:pPr>
      <w:rPr>
        <w:rFonts w:hint="default" w:ascii="Times New Roman" w:hAnsi="Times New Roman" w:cs="Times New Roman"/>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C11DE1"/>
    <w:rsid w:val="014B446C"/>
    <w:rsid w:val="11034517"/>
    <w:rsid w:val="12572FDF"/>
    <w:rsid w:val="1DC11DE1"/>
    <w:rsid w:val="1E35035D"/>
    <w:rsid w:val="269013AA"/>
    <w:rsid w:val="2C843EA3"/>
    <w:rsid w:val="2D4A1BA4"/>
    <w:rsid w:val="361D75A2"/>
    <w:rsid w:val="38B32DA3"/>
    <w:rsid w:val="3ECE31B1"/>
    <w:rsid w:val="4815709F"/>
    <w:rsid w:val="49D746AC"/>
    <w:rsid w:val="547B3155"/>
    <w:rsid w:val="569273BF"/>
    <w:rsid w:val="57B84D69"/>
    <w:rsid w:val="66BD6B4D"/>
    <w:rsid w:val="6C3D4204"/>
    <w:rsid w:val="6C637D9B"/>
    <w:rsid w:val="6D535020"/>
    <w:rsid w:val="6DE91879"/>
    <w:rsid w:val="70C014D3"/>
    <w:rsid w:val="729438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widowControl/>
      <w:spacing w:before="260" w:after="260" w:line="416" w:lineRule="auto"/>
      <w:jc w:val="left"/>
      <w:outlineLvl w:val="2"/>
    </w:pPr>
    <w:rPr>
      <w:rFonts w:eastAsia="华文细黑"/>
      <w:bCs/>
      <w:kern w:val="0"/>
      <w:sz w:val="36"/>
      <w:szCs w:val="32"/>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99"/>
    <w:pPr>
      <w:spacing w:after="120"/>
    </w:pPr>
  </w:style>
  <w:style w:type="paragraph" w:styleId="4">
    <w:name w:val="toc 3"/>
    <w:basedOn w:val="1"/>
    <w:next w:val="1"/>
    <w:qFormat/>
    <w:uiPriority w:val="39"/>
    <w:pPr>
      <w:tabs>
        <w:tab w:val="right" w:leader="dot" w:pos="7655"/>
      </w:tabs>
      <w:ind w:left="141" w:hanging="141" w:hangingChars="67"/>
      <w:jc w:val="center"/>
    </w:p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Hyperlink"/>
    <w:qFormat/>
    <w:uiPriority w:val="99"/>
    <w:rPr>
      <w:color w:val="0000FF"/>
      <w:u w:val="single"/>
    </w:rPr>
  </w:style>
  <w:style w:type="paragraph" w:customStyle="1" w:styleId="10">
    <w:name w:val="自定义标题１"/>
    <w:basedOn w:val="2"/>
    <w:qFormat/>
    <w:uiPriority w:val="0"/>
    <w:pPr>
      <w:widowControl w:val="0"/>
      <w:numPr>
        <w:ilvl w:val="0"/>
        <w:numId w:val="1"/>
      </w:numPr>
      <w:spacing w:before="140" w:after="140" w:line="240" w:lineRule="auto"/>
      <w:jc w:val="both"/>
    </w:pPr>
    <w:rPr>
      <w:rFonts w:eastAsia="宋体"/>
      <w:b/>
      <w:kern w:val="2"/>
      <w:sz w:val="24"/>
    </w:rPr>
  </w:style>
  <w:style w:type="paragraph" w:customStyle="1" w:styleId="11">
    <w:name w:val="样式1"/>
    <w:basedOn w:val="3"/>
    <w:qFormat/>
    <w:uiPriority w:val="0"/>
    <w:pPr>
      <w:spacing w:line="360" w:lineRule="auto"/>
    </w:pPr>
    <w:rPr>
      <w:sz w:val="24"/>
    </w:rPr>
  </w:style>
  <w:style w:type="paragraph"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enyanming\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25</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2018-07-31T03:14:00Z</dcterms:created>
  <dc:creator>clover&amp;cat</dc:creator>
  <cp:lastModifiedBy>沉醉不以思控   ℡</cp:lastModifiedBy>
  <cp:lastPrinted>2018-08-01T11:20:00Z</cp:lastPrinted>
  <dcterms:modified xsi:type="dcterms:W3CDTF">2019-03-23T11:27:57Z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